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0054-01-2020-000754-16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директора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</w:t>
      </w:r>
      <w:r>
        <w:rPr>
          <w:rStyle w:val="cat-OrganizationNamegrp-3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Ивановой Надежды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расположена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7.24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МБУК «ЦКС» допустила использование находящегося в федеральной собственности объекта нежилого фонда без надлежаще оформленных документов, что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проверки исполнения МБУК «</w:t>
      </w:r>
      <w:r>
        <w:rPr>
          <w:rFonts w:ascii="Times New Roman" w:eastAsia="Times New Roman" w:hAnsi="Times New Roman" w:cs="Times New Roman"/>
          <w:sz w:val="28"/>
          <w:szCs w:val="28"/>
        </w:rPr>
        <w:t>ЦКС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законодательства при использовании государственного имущества, расположенном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действиях должностного лица выявлены признаки состава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ст.7.24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 в судебном заседании настаивал на привлечении Поповой А.В. к административной ответственности по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7.24 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поскольку в рамках проверки был установлен факт отсутствия договора безвозмездного пользования на нежилое здание Дома культуры, расположенное по адресу: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о рассмотрении дела извещена надлежащим образом, предоставила заявление о рассмотрении дела без ее участия, указала, что свою вину в совершении административного правонарушения, предусмотренного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7.24 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признает в полном объеме.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А.О., 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7.24 КоАП РФ установлена административная ответственность за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Постановления Правительства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от 03.12.2004 года N 739 «</w:t>
      </w:r>
      <w:r>
        <w:rPr>
          <w:rFonts w:ascii="Times New Roman" w:eastAsia="Times New Roman" w:hAnsi="Times New Roman" w:cs="Times New Roman"/>
          <w:sz w:val="28"/>
          <w:szCs w:val="28"/>
        </w:rPr>
        <w:t>О полномочиях федеральных органов исполнительной власти по осуществлению прав собственника имущества федерального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твенного унитарного предприятия»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Федеральное агентство по управлению государственным имуществом, в отношении федеральных государственных унитарных предприятий осуществляет согласование сделок с недвижимым имуществом, закрепленным за предприятием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Н.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должностным лицом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иректором МБУК «ЦКС»,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законодательства в части использования помещения, находящегося в федеральной собственности, а именно: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294, ч. 2 ст. 295, ст. 607, ч.1 ст.609, п.1 ст.610 ГК РФ, ч. 2 ст. 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14.11.2002 года N 161-ФЗ "О государственных и муниципальных унитарных предприятиях",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Постановления Правительства Российской Федерации от 03.12.2004 года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предприятия", 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14.01.2020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документов, свидетельствующих о предоставлении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порядке, использовал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здание Дома культуры, расположенное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нежилое здание клуба,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размещения МБУК «ЦКС» </w:t>
      </w:r>
      <w:r>
        <w:rPr>
          <w:rFonts w:ascii="Times New Roman" w:eastAsia="Times New Roman" w:hAnsi="Times New Roman" w:cs="Times New Roman"/>
          <w:sz w:val="28"/>
          <w:szCs w:val="28"/>
        </w:rPr>
        <w:t>без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правонарушения, предусмотренного ч. 2 ст. 7.24 КоАП РФ,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виновность подтвержд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вызывают: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</w:rPr>
        <w:t>;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Ивановой Н.В. </w:t>
      </w:r>
      <w:r>
        <w:rPr>
          <w:rFonts w:ascii="Times New Roman" w:eastAsia="Times New Roman" w:hAnsi="Times New Roman" w:cs="Times New Roman"/>
          <w:sz w:val="28"/>
          <w:szCs w:val="28"/>
        </w:rPr>
        <w:t>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МБУК «Ц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01-04/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должностной инструкции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МБУК «Ц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письма </w:t>
      </w:r>
      <w:r>
        <w:rPr>
          <w:rStyle w:val="cat-OrganizationNamegrp-33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07.05.2020 №260; копией решения о проведении проверки №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12.05.2020; копией требования о предоставлении сведений, документов и явке для дачи пояснений от 12.05.2020; копией ответа на требование МБУК «Ц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С» от 14.05.2020 №1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Ивановой Н.В.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.05.2020; копией распоряжения Совета министров Республики Крым от 28.03.2018 №336-р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7,24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юджетного </w:t>
      </w:r>
      <w:r>
        <w:rPr>
          <w:rStyle w:val="cat-OrganizationNamegrp-34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Надежду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Банк получателя: Отделение по Республике Крым Южного главного управления ЦБ РФ, БИК 0435100</w:t>
      </w:r>
      <w:r>
        <w:rPr>
          <w:rFonts w:ascii="Times New Roman" w:eastAsia="Times New Roman" w:hAnsi="Times New Roman" w:cs="Times New Roman"/>
          <w:sz w:val="28"/>
          <w:szCs w:val="28"/>
        </w:rPr>
        <w:t>01,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40101810335100010001,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35620000,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82811601073019000140</w:t>
      </w:r>
      <w:r>
        <w:rPr>
          <w:rFonts w:ascii="Times New Roman" w:eastAsia="Times New Roman" w:hAnsi="Times New Roman" w:cs="Times New Roman"/>
          <w:sz w:val="28"/>
          <w:szCs w:val="28"/>
        </w:rPr>
        <w:t>, (постановление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>/2020).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2rplc-6">
    <w:name w:val="cat-OrganizationName grp-32 rplc-6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OrganizationNamegrp-33rplc-36">
    <w:name w:val="cat-OrganizationName grp-33 rplc-36"/>
    <w:basedOn w:val="DefaultParagraphFont"/>
  </w:style>
  <w:style w:type="character" w:customStyle="1" w:styleId="cat-OrganizationNamegrp-34rplc-53">
    <w:name w:val="cat-OrganizationName grp-34 rplc-53"/>
    <w:basedOn w:val="DefaultParagraphFont"/>
  </w:style>
  <w:style w:type="character" w:customStyle="1" w:styleId="cat-PassportDatagrp-31rplc-55">
    <w:name w:val="cat-PassportData grp-3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24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