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</w:t>
      </w:r>
      <w:r>
        <w:rPr>
          <w:rFonts w:ascii="Times New Roman" w:eastAsia="Times New Roman" w:hAnsi="Times New Roman" w:cs="Times New Roman"/>
          <w:sz w:val="28"/>
          <w:szCs w:val="28"/>
        </w:rPr>
        <w:t>592-98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июля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ст.15.5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«Красногвардейская спортивная школа им. И.В. Стаценко»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Генриховича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37/11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Гольберг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«Красногвардейская спортивная школа им. И.В. Стаценко»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или (иных) сведений, необходимых для осуществления налогового контроля, а именно: налоговой декларации (расчета) по налогу на прибыль за 2018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по законодательству – не позднее 28.03.2019 года. Фактически декларация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расчет) по налогу на прибыль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2018 год предоставлена в электронном виде посредством ТКС через провайдера – 04.04.2019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адресам, указанным в протоколе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правонарушении. В материалах дела имеется ходатайство о рассмотрении дела в его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«Красногвардейская спортивная школа им. И.В. Стаценко»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также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01.07.</w:t>
      </w:r>
      <w:r>
        <w:rPr>
          <w:rFonts w:ascii="Times New Roman" w:eastAsia="Times New Roman" w:hAnsi="Times New Roman" w:cs="Times New Roman"/>
          <w:sz w:val="28"/>
          <w:szCs w:val="28"/>
        </w:rPr>
        <w:t>2019 года, копией выписки из ЕГРЮЛ, досье по налогам и отчетным периодам.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«Красногвардейская спортивная школа им. И.В. Стаценко»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Генриховича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ст. 15.5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Отделение по Республике Крым ЦБ РФ, открытый УФК по РК, БИК 043510001, получатель УФК по Республике Крым для Межрайонной ИФНС России № 1 ИНН 9105000029, КБК 18211603030016000140, КПП 910501001, ОКТМО 35620401, (УИН код в поле 22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PassportDatagrp-21rplc-38">
    <w:name w:val="cat-PassportData grp-2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