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-01-2020-000818-18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>
        <w:rPr>
          <w:rStyle w:val="cat-OrganizationNamegrp-30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Левзера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Биляловича</w:t>
      </w:r>
      <w:r>
        <w:rPr>
          <w:rFonts w:ascii="Times New Roman" w:eastAsia="Times New Roman" w:hAnsi="Times New Roman" w:cs="Times New Roman"/>
          <w:sz w:val="27"/>
          <w:szCs w:val="27"/>
        </w:rPr>
        <w:t>, проживающего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адрес организации: </w:t>
      </w:r>
      <w:r>
        <w:rPr>
          <w:rStyle w:val="cat-Addressgrp-3rplc-9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директором </w:t>
      </w:r>
      <w:r>
        <w:rPr>
          <w:rStyle w:val="cat-OrganizationNamegrp-30rplc-1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 в установленный законодательством о налогах и </w:t>
      </w:r>
      <w:r>
        <w:rPr>
          <w:rFonts w:ascii="Times New Roman" w:eastAsia="Times New Roman" w:hAnsi="Times New Roman" w:cs="Times New Roman"/>
          <w:sz w:val="28"/>
          <w:szCs w:val="28"/>
        </w:rPr>
        <w:t>сборах срок в налоговые органы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установленный срок уточняющую декларацию либо пояснение в электронной форме по телекоммуникационным каналам связи через оператора электронного документооборота по формату, установленному федеральным органом исполнительной власти, уполномоченным по контролю и надзору в области налогов и сборов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ст.15.6 КоАП РФ.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камеральной налоговой проверки в отношении </w:t>
      </w:r>
      <w:r>
        <w:rPr>
          <w:rStyle w:val="cat-OrganizationNamegrp-31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п.3 ст.88 НК РФ было сформировано и направлено Требование утвержденного формата № 570 от 14.02.2020 г. о представлении пояснений либо внесении соответствующих исправлений по выявленным расхождениям в декларации по налогу на добавленную стоимость за 4 квартал 2019 г.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п.3 ст.88 НК РФ, если в ходе камеральной налоговой проверки выявлены ошибки в налоговой декларации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пяти дней необходимые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пояснения или внести соответствующие исправления в установленный срок.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Налогоплательщики, на которых настоящим Кодексом возложена обязанность представлять налоговую декларацию по налогу на добавленную стоимость в электронной форме, при проведении камеральной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, такой налоговой декларацией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пояснения, предусмотренные настоящим пунктом, в электронной форме по телекоммуникационным каналам связи через оператора электронного документооборота по формату, установленному федеральным органом исполнительной власти, уполномоченным по контролю и надзору в области налогов и сборов.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представлении указанных пояснений на бумажном носителе такие пояснения не считаются представленными.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Требование № 570 от 14.02.2020 получено </w:t>
      </w:r>
      <w:r>
        <w:rPr>
          <w:rStyle w:val="cat-OrganizationNamegrp-31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14.02.2020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то подтверждается квитанцией о приеме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информационного ресурса АИС НАЛОГ код по КНД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1167001.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ст.6.1 НК РФ течение срока начинается на следующий день после календарной даты или наступления события (совершения действия), которым определено его начало.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выходным и (или) нерабочим праздничным днем.</w:t>
      </w:r>
    </w:p>
    <w:p>
      <w:pPr>
        <w:spacing w:before="0" w:after="0" w:line="280" w:lineRule="atLeast"/>
        <w:ind w:firstLine="709"/>
        <w:jc w:val="both"/>
      </w:pPr>
      <w:r>
        <w:rPr>
          <w:rStyle w:val="cat-OrganizationNamegrp-31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положений п.3 ст.88 НК РФ не представило в установленный срок уточняющую декларацию либо пояснение в электронной форме по телекоммуникационным каналам связи через оператора электронного документооборота по формату, установленному федеральным органом исполнительной власти, уполномоченным по контролю и надзору в области налогов и сборов – не позднее 21.02.2020 г.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Пояснения в формате, утвержденным приказом ФНС России от 16.12.2016 г. № ММВ-7-15/682</w:t>
      </w:r>
      <w:r>
        <w:rPr>
          <w:rFonts w:ascii="Times New Roman" w:eastAsia="Times New Roman" w:hAnsi="Times New Roman" w:cs="Times New Roman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ИФНС № 1 по Республике Крым </w:t>
      </w:r>
      <w:r>
        <w:rPr>
          <w:rStyle w:val="cat-OrganizationNamegrp-31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предоставило.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03.03.2020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1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предоставлена налоговая декларация по налогу на добавленную стоимость, корректирующая (1) за 4 квартал 2019 г. и зарегистрирована в автоматическом режиме под номером 945988752.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22.02.2020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Местом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юридического лица: </w:t>
      </w:r>
      <w:r>
        <w:rPr>
          <w:rStyle w:val="cat-Addressgrp-4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о времени и месте рассмотрения дела по адресу, указанному в протоколе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ст.25.1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рассматривается 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60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частью 2 этой статьи, влечёт наложение административного штрафа на граждан в размере от ста до трёхсот рублей; на должностных лиц - от трёхсот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9105</w:t>
      </w:r>
      <w:r>
        <w:rPr>
          <w:rFonts w:ascii="Times New Roman" w:eastAsia="Times New Roman" w:hAnsi="Times New Roman" w:cs="Times New Roman"/>
          <w:sz w:val="28"/>
          <w:szCs w:val="28"/>
        </w:rPr>
        <w:t>2022300042700002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требования № 570 от 14.02.2020 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расчета)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03.03.2020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уведомления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10.08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выписки из ЕГРЮЛ от 21.08.2020 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необходимо руководствоваться положениями </w:t>
      </w:r>
      <w:r>
        <w:rPr>
          <w:rFonts w:ascii="Times New Roman" w:eastAsia="Times New Roman" w:hAnsi="Times New Roman" w:cs="Times New Roman"/>
          <w:sz w:val="28"/>
          <w:szCs w:val="28"/>
        </w:rPr>
        <w:t>ч.1,ч.3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ст.7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"О бухгалтерском учете"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06.12.2011 г. № 402-ФЗ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которыми </w:t>
      </w:r>
      <w:r>
        <w:rPr>
          <w:rFonts w:ascii="Times New Roman" w:eastAsia="Times New Roman" w:hAnsi="Times New Roman" w:cs="Times New Roman"/>
          <w:sz w:val="28"/>
          <w:szCs w:val="28"/>
        </w:rPr>
        <w:t>ведение бухгалтерского учета и хранение документов бухгалтерского учета организуются руководителем экономического субъекта.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предусмотрено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21.02.2020 г. главный бухгалтер (бухгалтер), иное должностное лицо, на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возложены обязанности по представлению в налоговый орган деклараций предприятия отсутствовали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должностным лицом, виновным в совершении административного правонарушения, предусмотренного ч.1 ст.15.6 КоАП РФ является директор </w:t>
      </w:r>
      <w:r>
        <w:rPr>
          <w:rStyle w:val="cat-OrganizationNamegrp-31rplc-4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Левзер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Билялови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15.6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пределах санкции ч. 1 ст. 15.6 КоАП в виде штрафа.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ч. 1 ст.15.6,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Левзера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Биляловича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 ч. 1 ст. 15.6 КоАП РФ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получатель 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(Министерство юстиции Респ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9102013284</w:t>
      </w:r>
      <w:r>
        <w:rPr>
          <w:rFonts w:ascii="Times New Roman" w:eastAsia="Times New Roman" w:hAnsi="Times New Roman" w:cs="Times New Roman"/>
          <w:sz w:val="28"/>
          <w:szCs w:val="28"/>
        </w:rPr>
        <w:t>, КБК 82811601153010006140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>, КПП 910201001, ОКТМО 35620000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код в поле 22 «0» постановление № </w:t>
      </w:r>
      <w:r>
        <w:rPr>
          <w:rFonts w:ascii="Times New Roman" w:eastAsia="Times New Roman" w:hAnsi="Times New Roman" w:cs="Times New Roman"/>
          <w:sz w:val="28"/>
          <w:szCs w:val="28"/>
        </w:rPr>
        <w:t>5-54-</w:t>
      </w:r>
      <w:r>
        <w:rPr>
          <w:rFonts w:ascii="Times New Roman" w:eastAsia="Times New Roman" w:hAnsi="Times New Roman" w:cs="Times New Roman"/>
          <w:sz w:val="28"/>
          <w:szCs w:val="28"/>
        </w:rPr>
        <w:t>227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банка: отделение по Республике Крым Южного главного управления ЦБРФ,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 043510001.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30rplc-6">
    <w:name w:val="cat-OrganizationName grp-30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30rplc-11">
    <w:name w:val="cat-OrganizationName grp-30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OrganizationNamegrp-31rplc-13">
    <w:name w:val="cat-OrganizationName grp-31 rplc-13"/>
    <w:basedOn w:val="DefaultParagraphFont"/>
  </w:style>
  <w:style w:type="character" w:customStyle="1" w:styleId="cat-OrganizationNamegrp-31rplc-18">
    <w:name w:val="cat-OrganizationName grp-31 rplc-18"/>
    <w:basedOn w:val="DefaultParagraphFont"/>
  </w:style>
  <w:style w:type="character" w:customStyle="1" w:styleId="cat-OrganizationNamegrp-31rplc-22">
    <w:name w:val="cat-OrganizationName grp-31 rplc-22"/>
    <w:basedOn w:val="DefaultParagraphFont"/>
  </w:style>
  <w:style w:type="character" w:customStyle="1" w:styleId="cat-OrganizationNamegrp-31rplc-26">
    <w:name w:val="cat-OrganizationName grp-31 rplc-26"/>
    <w:basedOn w:val="DefaultParagraphFont"/>
  </w:style>
  <w:style w:type="character" w:customStyle="1" w:styleId="cat-OrganizationNamegrp-31rplc-28">
    <w:name w:val="cat-OrganizationName grp-31 rplc-28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OrganizationNamegrp-31rplc-45">
    <w:name w:val="cat-OrganizationName grp-3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b420b1c36efd04763a416603d5c5af2108ceea0a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