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Редвана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/совет Джумашуй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2019 г. в </w:t>
      </w:r>
      <w:r>
        <w:rPr>
          <w:rStyle w:val="cat-Timegrp-32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36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помещении ГБУЗ РК «Крымский научно-практический центр наркологии», расположенной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г. Симферополь, ул. Февральская,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№ 11 Киевского судебного района Республики Крым дело передано на рассмотрение по ходатайству лица, привлекаемого к административной ответственности по месту его жительства.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вину не признал и пояснил, что он не отказывался проходить медицинское освидетельствование, хотел сдать кровь, но кровь не взяли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считает, что действия сотрудников полиции незаконны, у них не было оснований для направления его на медицинское освидетельствование, и его незаконно повезли на медицинское освидетельствование в г. Симферополь, поскольку остановили его в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должны были везти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– адвокат Пискарев Д.А., в судебном заседании просил прекратить в отношении его подзащитного дело, </w:t>
      </w:r>
      <w:r>
        <w:rPr>
          <w:rFonts w:ascii="Times New Roman" w:eastAsia="Times New Roman" w:hAnsi="Times New Roman" w:cs="Times New Roman"/>
          <w:sz w:val="28"/>
          <w:szCs w:val="28"/>
        </w:rPr>
        <w:t>уазывая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допущенные при проведении медицинского освидетельствования, указывая на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Минздрава России от 18.12.2015 N 933н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проведения медицинского освидетельствования на состояние опьянения (алкогольного, наркоти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ческого или иного токсического)», считает, что предлагать пройти медицинское освидетельствование и проводить освидетельствование должен врач, тогда как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предлагала медицинская сестра (фельдшер) не имеющая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подготовку по вопросам проведения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ссылается на наличие разногласий во времени совершения правонарушения, поскольку Акт об отказе прохождения медицинского освидетельствования окончен в </w:t>
      </w:r>
      <w:r>
        <w:rPr>
          <w:rStyle w:val="cat-Timegrp-3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протокол составлен </w:t>
      </w:r>
      <w:r>
        <w:rPr>
          <w:rStyle w:val="cat-Timegrp-34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Баскакова Н.И., Чистова П.А.,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 АП № 0</w:t>
      </w:r>
      <w:r>
        <w:rPr>
          <w:rFonts w:ascii="Times New Roman" w:eastAsia="Times New Roman" w:hAnsi="Times New Roman" w:cs="Times New Roman"/>
          <w:sz w:val="28"/>
          <w:szCs w:val="28"/>
        </w:rPr>
        <w:t>45946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Р.Р., 10.03.2019 года в </w:t>
      </w:r>
      <w:r>
        <w:rPr>
          <w:rStyle w:val="cat-Timegrp-34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ГБУЗ РК «Крымский научно-практический центр наркологии», расположенной по адресу: Республика Крым, г. Симферополь, ул. Февральская,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045946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ОТ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006</w:t>
      </w:r>
      <w:r>
        <w:rPr>
          <w:rFonts w:ascii="Times New Roman" w:eastAsia="Times New Roman" w:hAnsi="Times New Roman" w:cs="Times New Roman"/>
          <w:sz w:val="28"/>
          <w:szCs w:val="28"/>
        </w:rPr>
        <w:t>524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серии 50МВ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037752,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« 253 от 10 марта 2019 года, копией журнала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медицинского освидетельствования,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следующие признаки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нарушение речи.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50МВ № 037752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 медицинском учреждении на предложение медицинского работника продуть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отказался и требовал, чтобы у него взяли кровь.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отстранении от управления транспортным средством, протоколу о направлении на медицинское освидетельствование соответствующие процессуальные действия производились без участия понятых, с применением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видеозаписи, составленной при проведении обеспечительных мер,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</w:t>
      </w:r>
      <w:r>
        <w:rPr>
          <w:rStyle w:val="cat-Timegrp-35rplc-4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 пройти медицинское освидетельствование.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8 Порядка в процессе проведения медицинского освидетельствования его результаты вносятся в Акт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9 Порядка после указания в Акте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здравоохранения Российской Федерации от 18 декабря 2015 года N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19 Порядка медицинское заключение "от медицинского освидетельствования отказался" выносится в случаях: отказа свидетельствуемого от проведения медицинского освидетельствования (до начала его проведения); отказа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данного Порядка; фальсификации выдоха; фальсификации пробы биологического объекта (мочи).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вышеуказанного акта медицинского освидетельствования на состояние опьянения лица, которое управляет транспортным средством, исследование выдыхаемого воздуха на наличие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проводилось в виду отказа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действия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расценены как отказ от прохождения медицинского освидетельствования до его начала.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казанные протоколы составлены уполномоченным должностным лицом,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его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прохождения освидетельствования на состояние алкогольного опьянения и отказ от прохождения медицинского освидетельствования до начала его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видеозапись, протоколы подписаны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 и им не оспаривались. Какой-либо заинтересованности у инспекторов ДПС в исходе дела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принимает во внимание доводы защиты относительно составления протокола об административном правонарушении до окончания проведения медицинского освидетельствования, поскольку,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пояснили в судебном заседании сотрудники ИДПС ОР ГИБДД ОМВД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Баскаков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составил протокол об административном правонарушении после составления Акта об отказе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 прохождения медицинского освидетельствования, время составления протокола об административном правонарушении - </w:t>
      </w:r>
      <w:r>
        <w:rPr>
          <w:rStyle w:val="cat-Timegrp-34rplc-5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тогда как в Акте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окончания стоит – </w:t>
      </w:r>
      <w:r>
        <w:rPr>
          <w:rStyle w:val="cat-Timegrp-33rplc-5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отставанием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видеозаписью, составление протокола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велось после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 прохождения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не принимает во внимание доводы защиты относительно того, что медицинский работник – фельдшер </w:t>
      </w:r>
      <w:r>
        <w:rPr>
          <w:rFonts w:ascii="Times New Roman" w:eastAsia="Times New Roman" w:hAnsi="Times New Roman" w:cs="Times New Roman"/>
          <w:sz w:val="28"/>
          <w:szCs w:val="28"/>
        </w:rPr>
        <w:t>Аколешная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не имела права проводить медицинское освидетельствование, поскольку как усматривается из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Аколешная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не проводила освидетельствование, а как дежурный медицинский работник в присутствие врача Метленко В.М. выяснила у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 ли он продувать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что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 отказом.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относительно того, что у сотрудников не было оснований для его направления на медицинское освидетельствование, в виду 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опьянения, не опровергает вину заявителя, поскольку объективная сторона правонарушения, предусмотренная ч. 1 ст. 12.26 КоАП РФ, выражена в отказе водителя от прохождения медицинского освидетельствования.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 имеет правового значения наличии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доказательства по делу по правилам статьи 26.11 КоАП РФ с учетом требований части 3 статьи 26.2 КоАП РФ, суд приходит к выводу, что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Велилаева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Редвана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Раиповича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44rplc-7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7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(УМВД России по г. Симферополю), счет получателя платежа 40101810335100010001, БИК 043510001, КБК 18811630020016000140, ИНН 9102003230, КПП 910201001, ОКТМО 35701000 (идентификатор 1881049119600000</w:t>
      </w:r>
      <w:r>
        <w:rPr>
          <w:rFonts w:ascii="Times New Roman" w:eastAsia="Times New Roman" w:hAnsi="Times New Roman" w:cs="Times New Roman"/>
          <w:sz w:val="28"/>
          <w:szCs w:val="28"/>
        </w:rPr>
        <w:t>3274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</w:t>
      </w:r>
      <w:r>
        <w:rPr>
          <w:rFonts w:ascii="Times New Roman" w:eastAsia="Times New Roman" w:hAnsi="Times New Roman" w:cs="Times New Roman"/>
          <w:sz w:val="28"/>
          <w:szCs w:val="28"/>
        </w:rPr>
        <w:t>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7">
    <w:name w:val="cat-ExternalSystemDefined grp-44 rplc-7"/>
    <w:basedOn w:val="DefaultParagraphFont"/>
  </w:style>
  <w:style w:type="character" w:customStyle="1" w:styleId="cat-PassportDatagrp-30rplc-8">
    <w:name w:val="cat-PassportData grp-3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Timegrp-32rplc-13">
    <w:name w:val="cat-Time grp-32 rplc-13"/>
    <w:basedOn w:val="DefaultParagraphFont"/>
  </w:style>
  <w:style w:type="character" w:customStyle="1" w:styleId="cat-CarMakeModelgrp-36rplc-14">
    <w:name w:val="cat-CarMakeModel grp-36 rplc-14"/>
    <w:basedOn w:val="DefaultParagraphFont"/>
  </w:style>
  <w:style w:type="character" w:customStyle="1" w:styleId="cat-CarNumbergrp-37rplc-15">
    <w:name w:val="cat-CarNumber grp-37 rplc-15"/>
    <w:basedOn w:val="DefaultParagraphFont"/>
  </w:style>
  <w:style w:type="character" w:customStyle="1" w:styleId="cat-CarMakeModelgrp-36rplc-17">
    <w:name w:val="cat-CarMakeModel grp-36 rplc-17"/>
    <w:basedOn w:val="DefaultParagraphFont"/>
  </w:style>
  <w:style w:type="character" w:customStyle="1" w:styleId="cat-CarNumbergrp-37rplc-18">
    <w:name w:val="cat-CarNumber grp-37 rplc-18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Timegrp-33rplc-28">
    <w:name w:val="cat-Time grp-33 rplc-28"/>
    <w:basedOn w:val="DefaultParagraphFont"/>
  </w:style>
  <w:style w:type="character" w:customStyle="1" w:styleId="cat-Timegrp-34rplc-29">
    <w:name w:val="cat-Time grp-34 rplc-29"/>
    <w:basedOn w:val="DefaultParagraphFont"/>
  </w:style>
  <w:style w:type="character" w:customStyle="1" w:styleId="cat-Timegrp-34rplc-36">
    <w:name w:val="cat-Time grp-34 rplc-36"/>
    <w:basedOn w:val="DefaultParagraphFont"/>
  </w:style>
  <w:style w:type="character" w:customStyle="1" w:styleId="cat-Timegrp-35rplc-48">
    <w:name w:val="cat-Time grp-35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Timegrp-34rplc-58">
    <w:name w:val="cat-Time grp-34 rplc-58"/>
    <w:basedOn w:val="DefaultParagraphFont"/>
  </w:style>
  <w:style w:type="character" w:customStyle="1" w:styleId="cat-Timegrp-33rplc-59">
    <w:name w:val="cat-Time grp-33 rplc-59"/>
    <w:basedOn w:val="DefaultParagraphFont"/>
  </w:style>
  <w:style w:type="character" w:customStyle="1" w:styleId="cat-ExternalSystemDefinedgrp-44rplc-78">
    <w:name w:val="cat-ExternalSystemDefined grp-44 rplc-78"/>
    <w:basedOn w:val="DefaultParagraphFont"/>
  </w:style>
  <w:style w:type="character" w:customStyle="1" w:styleId="cat-PassportDatagrp-31rplc-79">
    <w:name w:val="cat-PassportData grp-31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