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5-54-285/2018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ноября 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Рыжковой Татьяны Борисовны, 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гражданки Российской Федерации, замужней, не имеющей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>являющейся директором МУП ЖКХ «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зарегистрированной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Рыжкова Т.Б., являясь директором МУП ЖКХ «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апрель 2018.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отчетности до 15 мая 2018 года, 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.06.2018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Рыжкова Т.Б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вину признала и пояснила, что ошибочно не указали человека, работающего на </w:t>
      </w:r>
      <w:r>
        <w:rPr>
          <w:rFonts w:ascii="Times New Roman" w:eastAsia="Times New Roman" w:hAnsi="Times New Roman" w:cs="Times New Roman"/>
          <w:sz w:val="27"/>
          <w:szCs w:val="27"/>
        </w:rPr>
        <w:t>предприятии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договора гражданско-правового характера. Сведения в отношении этого лица поданы, </w:t>
      </w:r>
      <w:r>
        <w:rPr>
          <w:rFonts w:ascii="Times New Roman" w:eastAsia="Times New Roman" w:hAnsi="Times New Roman" w:cs="Times New Roman"/>
          <w:sz w:val="27"/>
          <w:szCs w:val="27"/>
        </w:rPr>
        <w:t>однако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пропуском срока.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2.4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</w:t>
      </w:r>
      <w:r>
        <w:rPr>
          <w:rFonts w:ascii="Times New Roman" w:eastAsia="Times New Roman" w:hAnsi="Times New Roman" w:cs="Times New Roman"/>
          <w:sz w:val="27"/>
          <w:szCs w:val="27"/>
        </w:rPr>
        <w:t>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2.4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Рыжкова Т.Б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ЕГРЮЛ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МУП ЖКХ «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Клепинино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Рыжковой Т.Б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16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15.10.2018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Рыжковой Т.Б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 15.33.2 КоАП РФ.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Рыжковой Т.Б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Рыжкову Т.Б</w:t>
      </w:r>
      <w:r>
        <w:rPr>
          <w:rFonts w:ascii="Times New Roman" w:eastAsia="Times New Roman" w:hAnsi="Times New Roman" w:cs="Times New Roman"/>
          <w:sz w:val="27"/>
          <w:szCs w:val="27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2.9, 4.1, ст.15.33.2,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Рыжкову Татьяну Борисовну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</w:t>
      </w:r>
      <w:r>
        <w:rPr>
          <w:rFonts w:ascii="Times New Roman" w:eastAsia="Times New Roman" w:hAnsi="Times New Roman" w:cs="Times New Roman"/>
          <w:sz w:val="27"/>
          <w:szCs w:val="27"/>
        </w:rPr>
        <w:t>т перечислению на счет получателя платежа 40101810335100010001, БИК 043510001, получатель УФК по Республике Крым ГУ - отделение Пенсионного фонда РФ по Республике Крым, ИНН 7706808265, КБК 39211620010066000140, КПП 910201001, ОКТМО 35000000 (УИН «0» постановление № 5-54-28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/2018 статус лица 08).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 w:line="252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