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5-54-295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КоАП РФ,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9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ExternalSystem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 организации:</w:t>
      </w:r>
      <w:r>
        <w:rPr>
          <w:rStyle w:val="cat-PhoneNumbergrp-33rplc-1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2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Любови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13.10.2020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 №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направлен реестр сведений для назначения пособия по временной нетрудоспособности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в свою очередь представила страхователю </w:t>
      </w:r>
      <w:r>
        <w:rPr>
          <w:rStyle w:val="cat-OrganizationNamegrp-30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выплату пособия по временной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.09.2020 г.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Бирюкова Л.А. не явилась, о дате и времени рассмотрения дела уведомлена надлежащим образом, по адресу, указанному в протоколе. Ходатайств об отложении дела не поступало.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по месту расположения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получена.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30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 срок представления документов, необходимых для назначения и выплаты пособия по временной нетрудоспособности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срок представления реестра сведений для на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 пособия – не позднее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 г.,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 13</w:t>
      </w:r>
      <w:r>
        <w:rPr>
          <w:rFonts w:ascii="Times New Roman" w:eastAsia="Times New Roman" w:hAnsi="Times New Roman" w:cs="Times New Roman"/>
          <w:sz w:val="28"/>
          <w:szCs w:val="28"/>
        </w:rPr>
        <w:t>.10.2020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сведений, влияющих на право получения застрахованным лицом соответствующего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t>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Бирюкова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0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подтверждается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о 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выездной документальной проверки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 о выплате (перерасчете) пособия (оплате отпуска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1-К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приеме на работу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копией должностной инструкци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0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30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Бирюковой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ч.4 ст.15.33 КоАП РФ, т.к.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нарушила срок предоставления документов, необходимых для назначения и выплаты пособия по временной нетрудоспособности </w:t>
      </w:r>
      <w:r>
        <w:rPr>
          <w:rStyle w:val="cat-FIOgrp-22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твии со ст. 4.2 КоАП РФ,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Бирюковой Л.А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15.33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9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Бирюкову Любовь Алексеевну,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0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ГУ-РО Фонда социального страхования Российской Федерации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\с 0475</w:t>
      </w:r>
      <w:r>
        <w:rPr>
          <w:rFonts w:ascii="Times New Roman" w:eastAsia="Times New Roman" w:hAnsi="Times New Roman" w:cs="Times New Roman"/>
          <w:sz w:val="28"/>
          <w:szCs w:val="28"/>
        </w:rPr>
        <w:t>4С95020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393 1 16 01230 07 0000 140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7707830048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701</w:t>
      </w:r>
      <w:r>
        <w:rPr>
          <w:rFonts w:ascii="Times New Roman" w:eastAsia="Times New Roman" w:hAnsi="Times New Roman" w:cs="Times New Roman"/>
          <w:sz w:val="28"/>
          <w:szCs w:val="28"/>
        </w:rPr>
        <w:t>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9rplc-6">
    <w:name w:val="cat-OrganizationName grp-29 rplc-6"/>
    <w:basedOn w:val="DefaultParagraphFont"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33rplc-12">
    <w:name w:val="cat-PhoneNumber grp-3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29rplc-14">
    <w:name w:val="cat-OrganizationName grp-29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OrganizationNamegrp-30rplc-19">
    <w:name w:val="cat-OrganizationName grp-30 rplc-19"/>
    <w:basedOn w:val="DefaultParagraphFont"/>
  </w:style>
  <w:style w:type="character" w:customStyle="1" w:styleId="cat-OrganizationNamegrp-30rplc-23">
    <w:name w:val="cat-OrganizationName grp-3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OrganizationNamegrp-30rplc-32">
    <w:name w:val="cat-OrganizationName grp-30 rplc-32"/>
    <w:basedOn w:val="DefaultParagraphFont"/>
  </w:style>
  <w:style w:type="character" w:customStyle="1" w:styleId="cat-OrganizationNamegrp-30rplc-38">
    <w:name w:val="cat-OrganizationName grp-30 rplc-38"/>
    <w:basedOn w:val="DefaultParagraphFont"/>
  </w:style>
  <w:style w:type="character" w:customStyle="1" w:styleId="cat-OrganizationNamegrp-30rplc-40">
    <w:name w:val="cat-OrganizationName grp-30 rplc-40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OrganizationNamegrp-29rplc-45">
    <w:name w:val="cat-OrganizationName grp-29 rplc-45"/>
    <w:basedOn w:val="DefaultParagraphFont"/>
  </w:style>
  <w:style w:type="character" w:customStyle="1" w:styleId="cat-ExternalSystemDefinedgrp-40rplc-47">
    <w:name w:val="cat-ExternalSystemDefined grp-40 rplc-47"/>
    <w:basedOn w:val="DefaultParagraphFont"/>
  </w:style>
  <w:style w:type="character" w:customStyle="1" w:styleId="cat-PassportDatagrp-28rplc-48">
    <w:name w:val="cat-PassportData grp-2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