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 5-54-29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91М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0054-01-2020-00110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№54 Красногвардейского судебного района Республики Крым Чернецкая И.В.,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15.33 КоАП РФ, в отношении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бухгалтера </w:t>
      </w:r>
      <w:r>
        <w:rPr>
          <w:rStyle w:val="cat-OrganizationNamegrp-28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Бирюковой Любови Алексеевны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ExternalSystemDefinedgrp-3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6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гражданки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зарегистрированной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юридический адрес организации:</w:t>
      </w:r>
      <w:r>
        <w:rPr>
          <w:rStyle w:val="cat-PhoneNumbergrp-32rplc-1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378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бухгалтером </w:t>
      </w:r>
      <w:r>
        <w:rPr>
          <w:rStyle w:val="cat-OrganizationNamegrp-28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Бирюковой Любови Алексеевны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Style w:val="cat-Addressgrp-5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Филиал № 8 </w:t>
      </w:r>
      <w:r>
        <w:rPr>
          <w:rFonts w:ascii="Times New Roman" w:eastAsia="Times New Roman" w:hAnsi="Times New Roman" w:cs="Times New Roman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.10.2020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направлен реестр сведений для назначения пособия по временной нетрудоспособности </w:t>
      </w:r>
      <w:r>
        <w:rPr>
          <w:rStyle w:val="cat-FIOgrp-19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которая в свою очередь представила страхователю </w:t>
      </w:r>
      <w:r>
        <w:rPr>
          <w:rStyle w:val="cat-OrganizationNamegrp-29rplc-1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документы на выплату пособия по временной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етрудоспособности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.2020 г.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Бирюкова Л.А. не явилась, о дате и времени рассмотрения дела уведомлена надлежащим образом, по адресу, указанному в протоколе. Ходатайств об отложении дела не поступало.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Судебная корреспонденция по месту расположения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месту жительства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получена.</w:t>
      </w:r>
    </w:p>
    <w:p>
      <w:pPr>
        <w:spacing w:before="0" w:after="0"/>
        <w:ind w:left="426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left="426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>
      <w:pPr>
        <w:spacing w:before="0" w:after="0"/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.10.2020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бухгалтером </w:t>
      </w:r>
      <w:r>
        <w:rPr>
          <w:rStyle w:val="cat-OrganizationNamegrp-29rplc-2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 срок представления документов, необходимых для назначения и выплаты пособия по временной нетрудоспособности </w:t>
      </w:r>
      <w:r>
        <w:rPr>
          <w:rStyle w:val="cat-FIOgrp-19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срок представления реестра сведений для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значения пособия –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28.08</w:t>
      </w:r>
      <w:r>
        <w:rPr>
          <w:rFonts w:ascii="Times New Roman" w:eastAsia="Times New Roman" w:hAnsi="Times New Roman" w:cs="Times New Roman"/>
          <w:sz w:val="28"/>
          <w:szCs w:val="28"/>
        </w:rPr>
        <w:t>.2020 г., п</w:t>
      </w:r>
      <w:r>
        <w:rPr>
          <w:rFonts w:ascii="Times New Roman" w:eastAsia="Times New Roman" w:hAnsi="Times New Roman" w:cs="Times New Roman"/>
          <w:sz w:val="28"/>
          <w:szCs w:val="28"/>
        </w:rPr>
        <w:t>редставлен 13</w:t>
      </w:r>
      <w:r>
        <w:rPr>
          <w:rFonts w:ascii="Times New Roman" w:eastAsia="Times New Roman" w:hAnsi="Times New Roman" w:cs="Times New Roman"/>
          <w:sz w:val="28"/>
          <w:szCs w:val="28"/>
        </w:rPr>
        <w:t>.10.2020 г.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ч. 4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назначения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его размера, возмещения расходов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п.16 Постановление Правительства РФ от 21.04.2011 N 294 (ред. от 22.12.2016) "Об особенностях финансового обеспечения, назначения и выплаты в 2012 - 2019 годах территориальными органами Фонда социального страхования Российской Федерации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заболеваний, осуществления иных выплат и возмещения расходов страхователя на предупредительные меры по сокращению производственного травматизма и профессиональных заболеваний работников, а также об особенностях уплаты страховых взносов по обязательному социальному страхованию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заболеваний" за непредставление (за несвоевременное представление) документов, недостоверность либо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сокрытие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сведений, влияющих на право получения застрахованным лицом соответствующего </w:t>
      </w:r>
      <w:r>
        <w:rPr>
          <w:rFonts w:ascii="Times New Roman" w:eastAsia="Times New Roman" w:hAnsi="Times New Roman" w:cs="Times New Roman"/>
          <w:sz w:val="28"/>
          <w:szCs w:val="28"/>
        </w:rPr>
        <w:t>вида пособия или исчисление его размера страхователь несет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в соответствии с законодательством Российской Федерации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примечанием к ст. 15.33 КоАП РФ административная ответственность, установленная в отношении должностных лиц частями 2, 3 и 4 настоящей статьи, применяется к лицам, указанным в статье 2.4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Бирюкова Л.А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ч.4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бухгалтера </w:t>
      </w:r>
      <w:r>
        <w:rPr>
          <w:rStyle w:val="cat-OrganizationNamegrp-29rplc-3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Бирюковой Л.А.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4 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РФ подтверждается протоколом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21</w:t>
      </w:r>
      <w:r>
        <w:rPr>
          <w:rFonts w:ascii="Times New Roman" w:eastAsia="Times New Roman" w:hAnsi="Times New Roman" w:cs="Times New Roman"/>
          <w:sz w:val="28"/>
          <w:szCs w:val="28"/>
        </w:rPr>
        <w:t>.10.2020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правонарушении, о акт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выездной документальной проверки от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.10.2020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копией заявления о выплате (перерасчете) пособия (оплате отпуска</w:t>
      </w:r>
      <w:r>
        <w:rPr>
          <w:rFonts w:ascii="Times New Roman" w:eastAsia="Times New Roman" w:hAnsi="Times New Roman" w:cs="Times New Roman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копией приказа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26.09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</w:rPr>
        <w:t>1-К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приеме на работу </w:t>
      </w:r>
      <w:r>
        <w:rPr>
          <w:rFonts w:ascii="Times New Roman" w:eastAsia="Times New Roman" w:hAnsi="Times New Roman" w:cs="Times New Roman"/>
          <w:sz w:val="28"/>
          <w:szCs w:val="28"/>
        </w:rPr>
        <w:t>Бирюковой Л.А</w:t>
      </w:r>
      <w:r>
        <w:rPr>
          <w:rFonts w:ascii="Times New Roman" w:eastAsia="Times New Roman" w:hAnsi="Times New Roman" w:cs="Times New Roman"/>
          <w:sz w:val="28"/>
          <w:szCs w:val="28"/>
        </w:rPr>
        <w:t>., копией должностной инструкци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главного </w:t>
      </w:r>
      <w:r>
        <w:rPr>
          <w:rFonts w:ascii="Times New Roman" w:eastAsia="Times New Roman" w:hAnsi="Times New Roman" w:cs="Times New Roman"/>
          <w:sz w:val="28"/>
          <w:szCs w:val="28"/>
        </w:rPr>
        <w:t>бухгалтера.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ч.4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главного бухгалтера </w:t>
      </w:r>
      <w:r>
        <w:rPr>
          <w:rStyle w:val="cat-OrganizationNamegrp-29rplc-3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Бирюковой Л.А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в совершении административного правонарушения, предусмотренного ч.4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бухгалтера </w:t>
      </w:r>
      <w:r>
        <w:rPr>
          <w:rStyle w:val="cat-OrganizationNamegrp-29rplc-4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Бирюковой Л.А.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ч.4 ст.15.33 КоАП РФ, т.к. 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нарушила срок предоставления документов, необходимых для назначения и выплаты пособия по временной нетрудоспособности </w:t>
      </w:r>
      <w:r>
        <w:rPr>
          <w:rStyle w:val="cat-FIOgrp-21rplc-4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Бирюковой Л.А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</w:t>
      </w:r>
      <w:r>
        <w:rPr>
          <w:rFonts w:ascii="Times New Roman" w:eastAsia="Times New Roman" w:hAnsi="Times New Roman" w:cs="Times New Roman"/>
          <w:sz w:val="28"/>
          <w:szCs w:val="28"/>
        </w:rPr>
        <w:t>твии со ст. 4.2 КоАП РФ, мировым судьей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Бирюковой Л.А</w:t>
      </w:r>
      <w:r>
        <w:rPr>
          <w:rFonts w:ascii="Times New Roman" w:eastAsia="Times New Roman" w:hAnsi="Times New Roman" w:cs="Times New Roman"/>
          <w:sz w:val="28"/>
          <w:szCs w:val="28"/>
        </w:rPr>
        <w:t>.,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и руководствуясь ст. ст. 15.33 ч.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бухгалтера </w:t>
      </w:r>
      <w:r>
        <w:rPr>
          <w:rStyle w:val="cat-OrganizationNamegrp-28rplc-4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Бирюкову Любовь Алексеевну,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9rplc-4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7rplc-4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виновной в совершении административного правонарушения, предусмотренного ч.4 ст.15.33 КоАП РФ,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счет получателя платежа 40101810335100010001, БИК 043510001, получатель УФК по Республике Крым (</w:t>
      </w:r>
      <w:r>
        <w:rPr>
          <w:rFonts w:ascii="Times New Roman" w:eastAsia="Times New Roman" w:hAnsi="Times New Roman" w:cs="Times New Roman"/>
          <w:sz w:val="28"/>
          <w:szCs w:val="28"/>
        </w:rPr>
        <w:t>ГУ-РО Фонда социального страхования Российской Федерации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Крым,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\с 0475</w:t>
      </w:r>
      <w:r>
        <w:rPr>
          <w:rFonts w:ascii="Times New Roman" w:eastAsia="Times New Roman" w:hAnsi="Times New Roman" w:cs="Times New Roman"/>
          <w:sz w:val="28"/>
          <w:szCs w:val="28"/>
        </w:rPr>
        <w:t>4С95020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КБК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393 1 16 01230 07 0000 140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Fonts w:ascii="Times New Roman" w:eastAsia="Times New Roman" w:hAnsi="Times New Roman" w:cs="Times New Roman"/>
          <w:sz w:val="28"/>
          <w:szCs w:val="28"/>
        </w:rPr>
        <w:t>7707830048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910201001, ОКТМО 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>701</w:t>
      </w:r>
      <w:r>
        <w:rPr>
          <w:rFonts w:ascii="Times New Roman" w:eastAsia="Times New Roman" w:hAnsi="Times New Roman" w:cs="Times New Roman"/>
          <w:sz w:val="28"/>
          <w:szCs w:val="28"/>
        </w:rPr>
        <w:t>000.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ул. Титова, д.60.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OrganizationNamegrp-28rplc-6">
    <w:name w:val="cat-OrganizationName grp-28 rplc-6"/>
    <w:basedOn w:val="DefaultParagraphFont"/>
  </w:style>
  <w:style w:type="character" w:customStyle="1" w:styleId="cat-ExternalSystemDefinedgrp-39rplc-8">
    <w:name w:val="cat-ExternalSystemDefined grp-39 rplc-8"/>
    <w:basedOn w:val="DefaultParagraphFont"/>
  </w:style>
  <w:style w:type="character" w:customStyle="1" w:styleId="cat-PassportDatagrp-26rplc-9">
    <w:name w:val="cat-PassportData grp-26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PhoneNumbergrp-32rplc-12">
    <w:name w:val="cat-PhoneNumber grp-32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OrganizationNamegrp-28rplc-14">
    <w:name w:val="cat-OrganizationName grp-28 rplc-14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FIOgrp-19rplc-18">
    <w:name w:val="cat-FIO grp-19 rplc-18"/>
    <w:basedOn w:val="DefaultParagraphFont"/>
  </w:style>
  <w:style w:type="character" w:customStyle="1" w:styleId="cat-OrganizationNamegrp-29rplc-19">
    <w:name w:val="cat-OrganizationName grp-29 rplc-19"/>
    <w:basedOn w:val="DefaultParagraphFont"/>
  </w:style>
  <w:style w:type="character" w:customStyle="1" w:styleId="cat-OrganizationNamegrp-29rplc-23">
    <w:name w:val="cat-OrganizationName grp-29 rplc-23"/>
    <w:basedOn w:val="DefaultParagraphFont"/>
  </w:style>
  <w:style w:type="character" w:customStyle="1" w:styleId="cat-FIOgrp-19rplc-24">
    <w:name w:val="cat-FIO grp-19 rplc-24"/>
    <w:basedOn w:val="DefaultParagraphFont"/>
  </w:style>
  <w:style w:type="character" w:customStyle="1" w:styleId="cat-OrganizationNamegrp-29rplc-32">
    <w:name w:val="cat-OrganizationName grp-29 rplc-32"/>
    <w:basedOn w:val="DefaultParagraphFont"/>
  </w:style>
  <w:style w:type="character" w:customStyle="1" w:styleId="cat-OrganizationNamegrp-29rplc-38">
    <w:name w:val="cat-OrganizationName grp-29 rplc-38"/>
    <w:basedOn w:val="DefaultParagraphFont"/>
  </w:style>
  <w:style w:type="character" w:customStyle="1" w:styleId="cat-OrganizationNamegrp-29rplc-40">
    <w:name w:val="cat-OrganizationName grp-29 rplc-40"/>
    <w:basedOn w:val="DefaultParagraphFont"/>
  </w:style>
  <w:style w:type="character" w:customStyle="1" w:styleId="cat-FIOgrp-21rplc-42">
    <w:name w:val="cat-FIO grp-21 rplc-42"/>
    <w:basedOn w:val="DefaultParagraphFont"/>
  </w:style>
  <w:style w:type="character" w:customStyle="1" w:styleId="cat-OrganizationNamegrp-28rplc-45">
    <w:name w:val="cat-OrganizationName grp-28 rplc-45"/>
    <w:basedOn w:val="DefaultParagraphFont"/>
  </w:style>
  <w:style w:type="character" w:customStyle="1" w:styleId="cat-ExternalSystemDefinedgrp-39rplc-47">
    <w:name w:val="cat-ExternalSystemDefined grp-39 rplc-47"/>
    <w:basedOn w:val="DefaultParagraphFont"/>
  </w:style>
  <w:style w:type="character" w:customStyle="1" w:styleId="cat-PassportDatagrp-27rplc-48">
    <w:name w:val="cat-PassportData grp-27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