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5-54-300/2018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Бирюковой Любови Александровны, </w:t>
      </w:r>
      <w:r>
        <w:rPr>
          <w:rStyle w:val="cat-PassportDatagrp-2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главным бухгалтером СПК «Им. Чкалова», зарегистрированной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ч.1 ст. 15.6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Бирюкова Л.А., являясь 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>СПК «Им. Чкалова»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налоговый расчет по авансовому платежу по налогу на имущество организаций за 1квартал 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налогового расчета по авансовому платежу по налогу на имущество организаций № 2926443, представленного СПК «</w:t>
      </w:r>
      <w:r>
        <w:rPr>
          <w:rFonts w:ascii="Times New Roman" w:eastAsia="Times New Roman" w:hAnsi="Times New Roman" w:cs="Times New Roman"/>
          <w:sz w:val="28"/>
          <w:szCs w:val="28"/>
        </w:rPr>
        <w:t>ИМ.Чкалова</w:t>
      </w:r>
      <w:r>
        <w:rPr>
          <w:rFonts w:ascii="Times New Roman" w:eastAsia="Times New Roman" w:hAnsi="Times New Roman" w:cs="Times New Roman"/>
          <w:sz w:val="28"/>
          <w:szCs w:val="28"/>
        </w:rPr>
        <w:t>», организация имеет основные средства, являющиеся объектом налогообложения налога на имущество организаций, в связи с чем СПК «ИМ. Чкалова» является плательщиком налога на имущество организаций.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 ст. 6.1 НК РФ в случаях, когда последний день срока приходится на день, признаваемый в соответствии с законодательством РФ выходным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Предельный срок представления налогового расчета по авансовому платежу по налогу на имущество организаций за 1 квартал 2018 года не позднее 03.05.2018 г. Фактически налоговый расчет представлен 25.05.2018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Л.А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нарушения признала, и пояснила, что ранее предприятие находилось на упрощенной системе налогообложения, в связи с чем, налоговый расчет по налогу на имущество не предоставлялся.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приказа о приеме на работу от </w:t>
      </w:r>
      <w:r>
        <w:rPr>
          <w:rFonts w:ascii="Times New Roman" w:eastAsia="Times New Roman" w:hAnsi="Times New Roman" w:cs="Times New Roman"/>
          <w:sz w:val="28"/>
          <w:szCs w:val="28"/>
        </w:rPr>
        <w:t>26.09.2014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базы данных СЭОД.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Бирюкову Л.А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Бирюкову Любовь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ч. 1 ст. 15.6 КоАП РФ и 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</w:t>
      </w:r>
      <w:r>
        <w:rPr>
          <w:rFonts w:ascii="Times New Roman" w:eastAsia="Times New Roman" w:hAnsi="Times New Roman" w:cs="Times New Roman"/>
          <w:sz w:val="28"/>
          <w:szCs w:val="28"/>
        </w:rPr>
        <w:t>000140, КПП 910501001, ОКТМО 35709000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5">
    <w:name w:val="cat-PassportData grp-2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2rplc-32">
    <w:name w:val="cat-ExternalSystemDefined grp-32 rplc-32"/>
    <w:basedOn w:val="DefaultParagraphFont"/>
  </w:style>
  <w:style w:type="character" w:customStyle="1" w:styleId="cat-PassportDatagrp-26rplc-33">
    <w:name w:val="cat-PassportData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