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36D4" w:rsidP="00ED36D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5-54-307/2022</w:t>
      </w:r>
    </w:p>
    <w:p w:rsidR="00ED36D4" w:rsidP="00ED36D4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0054-01-2022-002476-23</w:t>
      </w:r>
    </w:p>
    <w:p w:rsidR="00ED36D4" w:rsidP="00ED36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ED36D4" w:rsidP="00ED36D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D36D4" w:rsidP="00ED36D4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26 октября 2022 года                                        пгт.  Красногвардейское</w:t>
      </w:r>
    </w:p>
    <w:p w:rsidR="00ED36D4" w:rsidP="00ED36D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D36D4" w:rsidP="00ED36D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рассмотрев дело об административном правонарушении в отношении:</w:t>
      </w:r>
    </w:p>
    <w:p w:rsidR="00ED36D4" w:rsidP="00ED36D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Мамутова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Н.С.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</w:p>
    <w:p w:rsidR="00ED36D4" w:rsidP="00ED36D4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ED36D4" w:rsidP="00ED36D4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Мамутов Н.С., 11 октября 2022 года приблизительно в 22 часа 00 минут, находясь по адресу: АДРЕС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причинил побои ФИО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а именно: нанес несколько ударов рукой в область головы, чем причинил физическую боль и страдание, не повлекших последствий, предусмотренных ст. 115 УК РФ. 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>Мамутов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 xml:space="preserve"> Н.С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УУП ОУУП и ПДН ОМВД России по Красног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вардейскому району ФИО 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>Мамутов Н.С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факт 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 xml:space="preserve">конфликта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не отрицал, пояснил, вину осознал, в содеянном раскаялся.   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 xml:space="preserve">ий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судебном заседании пояснил, что примирил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>ся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 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>Мамутовым Н.С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претензий к нему не имеет, просил прекратить производство по делу.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>Мамутов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 xml:space="preserve"> Н.С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 xml:space="preserve">серии 8201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>033031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>26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.10.2021 года; пояснениям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лица, привлекаемого к административной ответственности и потерпевше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>го, аком медицинского освидетельствования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ED36D4" w:rsidP="00ED3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объяснения 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>Мамутов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 xml:space="preserve"> Н.С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потерпевше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 xml:space="preserve">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 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исследовав материалы дела, оценив доказательства и обстоятельства, в соответствии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>Мамутов Н.С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содержится состав административн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ого правонарушения, предусмотренного статьей 6.1.1 КоАП РФ, 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>как нанесение побоев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причинивших физическую боль, но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не повлекших последствий, указанных в статье 115 УК РФ, если эти действия не содержат уголовного наказуемого деяния. 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вия лица, в отношении которого ведется производство по делу об административном правонарушении, по ст. 6.1.1 КоАП РФ, - как нанесение побоев, причинивших физическую боль, но не повлекших последствий, указанных в статье 115 УК РФ, если эти действия не содер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жат уголовного наказуемого деяния.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ходе рассмотрения данного дела об административном правонарушении в соответствии с требованиями статьи 24.1 Кодекса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Российской Федерации об административных правонарушениях были всесторонне, полно, объективно и своеврем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ми и достаточными для установления вины 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>Мамутов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 xml:space="preserve"> Н.С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ст. 6.1.1 КоАП РФ.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>Мамутов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 xml:space="preserve"> Н.С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 совершении административного правонарушения, предусмотренного 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т. 6.1.1 КоАП РФ, доказана и нашла свое подтверждение в ходе производства по делу об административном правонарушении. 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ановлены все юридически значимые обстоятельства совершения административного правонарушения.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Вместе с тем имеются основания для признания совершенного 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>Мамутов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 xml:space="preserve"> Н.С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административного правонарушения малозначительным.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статьей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совершившее административное правонарушение, от административной ответственности и ограничиться устным замечанием.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пункту 21 постановления Пленума Верховного Суда Российской Федерации от 24.03.2005 N 5 "О некоторых вопросах, возникающих у судов пр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Малозначительным административным правонарушен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 существенного нарушения охраняемых общественных правоотношений.</w:t>
      </w:r>
    </w:p>
    <w:p w:rsidR="00ED36D4" w:rsidP="00ED36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Принимая во внимание вышеизложенное, и те обстоятельства, что совершенное 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>Мамуто</w:t>
      </w:r>
      <w:r w:rsidR="00712934">
        <w:rPr>
          <w:rFonts w:ascii="Times New Roman" w:eastAsia="Times New Roman" w:hAnsi="Times New Roman"/>
          <w:sz w:val="27"/>
          <w:szCs w:val="27"/>
          <w:lang w:eastAsia="ru-RU"/>
        </w:rPr>
        <w:t>ым</w:t>
      </w:r>
      <w:r w:rsidRPr="00712934" w:rsidR="00712934">
        <w:rPr>
          <w:rFonts w:ascii="Times New Roman" w:eastAsia="Times New Roman" w:hAnsi="Times New Roman"/>
          <w:sz w:val="27"/>
          <w:szCs w:val="27"/>
          <w:lang w:eastAsia="ru-RU"/>
        </w:rPr>
        <w:t>в Н.С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деяние не повлекло вредных последствий, вред здоровью и крупный ущерб кому-либо не причинен, существе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нного нарушения охраняемых общественных отношений не последовало, учитывая, что потерпевшая к нему претензий не имеет, судья приходит к выводу, что имеются основания для признания административного правонарушения малозначительным.</w:t>
      </w:r>
    </w:p>
    <w:p w:rsidR="00ED36D4" w:rsidP="00ED36D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Руководствуясь ст.ст.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2.5, 2.9, 29.9, 29.10 КоАП РФ,-</w:t>
      </w:r>
    </w:p>
    <w:p w:rsidR="00ED36D4" w:rsidP="00ED36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ПОСТАНОВИЛ:</w:t>
      </w:r>
    </w:p>
    <w:p w:rsidR="00ED36D4" w:rsidP="00ED36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ED36D4" w:rsidP="00ED3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Освободить </w:t>
      </w:r>
      <w:r w:rsidRPr="004B18F9" w:rsidR="004B18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Мамутова</w:t>
      </w:r>
      <w:r w:rsidRPr="004B18F9" w:rsidR="004B18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Н.С.</w:t>
      </w:r>
      <w:r w:rsidRPr="004B18F9" w:rsidR="004B18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от административной ответственности, предусмотренной ст. 6.1.1 КоАП РФ, в связи с малозначительностью административного правонарушения.</w:t>
      </w:r>
    </w:p>
    <w:p w:rsidR="00ED36D4" w:rsidP="00ED3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Объявить </w:t>
      </w:r>
      <w:r w:rsidRPr="004B18F9" w:rsidR="004B18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Мамутов</w:t>
      </w:r>
      <w:r w:rsidR="004B18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</w:t>
      </w:r>
      <w:r w:rsidRPr="004B18F9" w:rsidR="004B18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Н.С.</w:t>
      </w:r>
      <w:r w:rsidRPr="004B18F9" w:rsidR="004B18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устное замечание. </w:t>
      </w:r>
    </w:p>
    <w:p w:rsidR="00ED36D4" w:rsidP="00ED36D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Производство по делу об административном правонарушении, предусмотренном ст. 6.1.1 КоАП РФ, в отношении </w:t>
      </w:r>
      <w:r w:rsidRPr="004B18F9" w:rsidR="004B18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Мамутова</w:t>
      </w:r>
      <w:r w:rsidRPr="004B18F9" w:rsidR="004B18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Н.С.</w:t>
      </w:r>
      <w:r w:rsidRPr="004B18F9" w:rsidR="004B18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ДАТА РОЖДЕНИЯ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– прекра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тить.</w:t>
      </w:r>
    </w:p>
    <w:p w:rsidR="00ED36D4" w:rsidP="00ED36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ED36D4" w:rsidP="00ED36D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C2CD8" w:rsidP="00B86E55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Мировой су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дья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>И.В. Чернецкая.</w:t>
      </w:r>
    </w:p>
    <w:sectPr w:rsidSect="00B86E55">
      <w:pgSz w:w="11906" w:h="16838"/>
      <w:pgMar w:top="794" w:right="1021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7A"/>
    <w:rsid w:val="00464737"/>
    <w:rsid w:val="004B18F9"/>
    <w:rsid w:val="00712934"/>
    <w:rsid w:val="008B6C7A"/>
    <w:rsid w:val="009C2CD8"/>
    <w:rsid w:val="00B86E55"/>
    <w:rsid w:val="00ED3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B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18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