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5-54-317/2018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19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Нуриева Омара Рамазан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О.Р.О., являясь 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или (иных) сведений, необходимых для осуществления налогового контроля, а именно: налоговой декларации (расчета) по налогу на прибыль за 2017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по законодательству – не позднее 28.03.2018 года.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(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представлена в электронном виде посредством ТКС через провайдера – 26.04.2018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Нуриев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том, что вина 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>»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</w:t>
      </w:r>
      <w:r>
        <w:rPr>
          <w:rFonts w:ascii="Times New Roman" w:eastAsia="Times New Roman" w:hAnsi="Times New Roman" w:cs="Times New Roman"/>
          <w:sz w:val="28"/>
          <w:szCs w:val="28"/>
        </w:rPr>
        <w:t>.2018 года, копией выписки из ЕГРЮЛ, сведений из базы данных ЭОД «Реестр деклараций юридических лиц, представленных несвоевременно».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совершенное правонарушение, судья считает необходимым подвергнуть Нуриева О.Р.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Нуриева Омара Рамазан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Отделение по Республике Крым ЦБ РФ, открытый УФК по РК, БИК 043510001, получатель УФК по Республике Крым для Межрайонной ИФНС России № 1 ИНН 9105000029, КБК 18211603030016000140, КПП 910501001, ОКТМО 35620401,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</w:t>
      </w:r>
      <w:r>
        <w:rPr>
          <w:rFonts w:ascii="Times New Roman" w:eastAsia="Times New Roman" w:hAnsi="Times New Roman" w:cs="Times New Roman"/>
          <w:sz w:val="28"/>
          <w:szCs w:val="28"/>
        </w:rP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4rplc-34">
    <w:name w:val="cat-PassportData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