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318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</w:t>
      </w:r>
      <w:r>
        <w:rPr>
          <w:rFonts w:ascii="Times New Roman" w:eastAsia="Times New Roman" w:hAnsi="Times New Roman" w:cs="Times New Roman"/>
          <w:sz w:val="27"/>
          <w:szCs w:val="27"/>
        </w:rPr>
        <w:t>938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Гунько Юлии Николаевны</w:t>
      </w:r>
      <w:r>
        <w:rPr>
          <w:rFonts w:ascii="Times New Roman" w:eastAsia="Times New Roman" w:hAnsi="Times New Roman" w:cs="Times New Roman"/>
          <w:sz w:val="27"/>
          <w:szCs w:val="27"/>
        </w:rPr>
        <w:t>, 1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Гунько Ю.Н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500,00 руб., наложенный постановлением серии </w:t>
      </w:r>
      <w:r>
        <w:rPr>
          <w:rFonts w:ascii="Times New Roman" w:eastAsia="Times New Roman" w:hAnsi="Times New Roman" w:cs="Times New Roman"/>
          <w:sz w:val="27"/>
          <w:szCs w:val="27"/>
        </w:rPr>
        <w:t>№ 18810182190609344791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Гунько Ю.Н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так как не </w:t>
      </w:r>
      <w:r>
        <w:rPr>
          <w:rFonts w:ascii="Times New Roman" w:eastAsia="Times New Roman" w:hAnsi="Times New Roman" w:cs="Times New Roman"/>
          <w:sz w:val="27"/>
          <w:szCs w:val="27"/>
        </w:rPr>
        <w:t>получала письмо, поскольку по адресу регистрации не проживает, однако там живет мать, но она также не получала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Гунько Ю.Н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Гунько Ю.Н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Гунько Ю.Н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82АП 048604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 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18810182190609344791 от 09.06.2019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500,00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Гунько Ю.Н</w:t>
      </w:r>
      <w:r>
        <w:rPr>
          <w:rFonts w:ascii="Times New Roman" w:eastAsia="Times New Roman" w:hAnsi="Times New Roman" w:cs="Times New Roman"/>
          <w:sz w:val="27"/>
          <w:szCs w:val="27"/>
        </w:rPr>
        <w:t>.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постановления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данное постановление вступило в законную силу 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следовательно, шестидесятидневный срок истек –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Гунько Ю.Н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Гунько Ю.Н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Гунько Юлии Николаевны, 1</w:t>
      </w:r>
      <w:r>
        <w:rPr>
          <w:rStyle w:val="cat-ExternalSystemDefinedgrp-25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1000,00 рублей (одна тысяча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 УФК по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</w:t>
      </w:r>
      <w:r>
        <w:rPr>
          <w:rFonts w:ascii="Times New Roman" w:eastAsia="Times New Roman" w:hAnsi="Times New Roman" w:cs="Times New Roman"/>
          <w:sz w:val="27"/>
          <w:szCs w:val="27"/>
        </w:rPr>
        <w:t>2000002673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5rplc-29">
    <w:name w:val="cat-ExternalSystemDefined grp-25 rplc-29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