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№ 5-54-326</w:t>
      </w:r>
      <w:r>
        <w:rPr>
          <w:rFonts w:ascii="Times New Roman" w:eastAsia="Times New Roman" w:hAnsi="Times New Roman" w:cs="Times New Roman"/>
          <w:sz w:val="27"/>
          <w:szCs w:val="27"/>
        </w:rPr>
        <w:t>/2019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91М</w:t>
      </w:r>
      <w:r>
        <w:rPr>
          <w:rFonts w:ascii="Times New Roman" w:eastAsia="Times New Roman" w:hAnsi="Times New Roman" w:cs="Times New Roman"/>
          <w:sz w:val="27"/>
          <w:szCs w:val="27"/>
        </w:rPr>
        <w:t>S</w:t>
      </w:r>
      <w:r>
        <w:rPr>
          <w:rFonts w:ascii="Times New Roman" w:eastAsia="Times New Roman" w:hAnsi="Times New Roman" w:cs="Times New Roman"/>
          <w:sz w:val="27"/>
          <w:szCs w:val="27"/>
        </w:rPr>
        <w:t>0054-01-2019-000961-58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06 ноября </w:t>
      </w:r>
      <w:r>
        <w:rPr>
          <w:rFonts w:ascii="Times New Roman" w:eastAsia="Times New Roman" w:hAnsi="Times New Roman" w:cs="Times New Roman"/>
          <w:sz w:val="27"/>
          <w:szCs w:val="27"/>
        </w:rPr>
        <w:t>2019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Красногвардейское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 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 судебного участка №54 Красногвардейского судебного района Республики Крым Чернецкая И.В.,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рассмотрев в судебном заседании в помещении судебного участка № 54 Красногвардейского судебного района Республики Крым дело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 ст.19.5 КоАП РФ, в отношении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юридического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лица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-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Муниципальн</w:t>
      </w:r>
      <w:r>
        <w:rPr>
          <w:rFonts w:ascii="Times New Roman" w:eastAsia="Times New Roman" w:hAnsi="Times New Roman" w:cs="Times New Roman"/>
          <w:sz w:val="27"/>
          <w:szCs w:val="27"/>
        </w:rPr>
        <w:t>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бюджетн</w:t>
      </w:r>
      <w:r>
        <w:rPr>
          <w:rFonts w:ascii="Times New Roman" w:eastAsia="Times New Roman" w:hAnsi="Times New Roman" w:cs="Times New Roman"/>
          <w:sz w:val="27"/>
          <w:szCs w:val="27"/>
        </w:rPr>
        <w:t>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дошкольн</w:t>
      </w:r>
      <w:r>
        <w:rPr>
          <w:rFonts w:ascii="Times New Roman" w:eastAsia="Times New Roman" w:hAnsi="Times New Roman" w:cs="Times New Roman"/>
          <w:sz w:val="27"/>
          <w:szCs w:val="27"/>
        </w:rPr>
        <w:t>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образовательн</w:t>
      </w:r>
      <w:r>
        <w:rPr>
          <w:rFonts w:ascii="Times New Roman" w:eastAsia="Times New Roman" w:hAnsi="Times New Roman" w:cs="Times New Roman"/>
          <w:sz w:val="27"/>
          <w:szCs w:val="27"/>
        </w:rPr>
        <w:t>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OrganizationNamegrp-24rplc-7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Красногвар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дейского района Республики Крым,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юридический адрес организации: </w:t>
      </w:r>
      <w:r>
        <w:rPr>
          <w:rStyle w:val="cat-Addressgrp-3rplc-9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ИНН 9105008483, КПП 910501001, ОГРН 1159102006359.</w:t>
      </w:r>
    </w:p>
    <w:p>
      <w:pPr>
        <w:spacing w:before="0" w:after="0" w:line="280" w:lineRule="atLeast"/>
        <w:ind w:firstLine="709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 w:line="280" w:lineRule="atLeast"/>
        <w:ind w:firstLine="709"/>
        <w:jc w:val="both"/>
      </w:pP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протоколу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б/н от 20 сентября 2019 года, </w:t>
      </w:r>
      <w:r>
        <w:rPr>
          <w:rFonts w:ascii="Times New Roman" w:eastAsia="Times New Roman" w:hAnsi="Times New Roman" w:cs="Times New Roman"/>
          <w:sz w:val="27"/>
          <w:szCs w:val="27"/>
        </w:rPr>
        <w:t>юридическо</w:t>
      </w:r>
      <w:r>
        <w:rPr>
          <w:rFonts w:ascii="Times New Roman" w:eastAsia="Times New Roman" w:hAnsi="Times New Roman" w:cs="Times New Roman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лиц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Муниципальн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бюджетн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дошкольн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образовательн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OrganizationNamegrp-24rplc-13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Красногвар</w:t>
      </w:r>
      <w:r>
        <w:rPr>
          <w:rFonts w:ascii="Times New Roman" w:eastAsia="Times New Roman" w:hAnsi="Times New Roman" w:cs="Times New Roman"/>
          <w:sz w:val="27"/>
          <w:szCs w:val="27"/>
        </w:rPr>
        <w:t>дейского района Республики Крым,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</w:t>
      </w:r>
      <w:r>
        <w:rPr>
          <w:rFonts w:ascii="Times New Roman" w:eastAsia="Times New Roman" w:hAnsi="Times New Roman" w:cs="Times New Roman"/>
          <w:sz w:val="28"/>
          <w:szCs w:val="28"/>
        </w:rPr>
        <w:t>до 01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.2019 года </w:t>
      </w:r>
      <w:r>
        <w:rPr>
          <w:rFonts w:ascii="Times New Roman" w:eastAsia="Times New Roman" w:hAnsi="Times New Roman" w:cs="Times New Roman"/>
          <w:sz w:val="28"/>
          <w:szCs w:val="28"/>
        </w:rPr>
        <w:t>не выполнены предложения, данные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предписани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 04.09.2018 г., а именно не выполнено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не отремонтированы дорожные покрытия въезда и входа на территорию дошкольно</w:t>
      </w:r>
      <w:r>
        <w:rPr>
          <w:rFonts w:ascii="Times New Roman" w:eastAsia="Times New Roman" w:hAnsi="Times New Roman" w:cs="Times New Roman"/>
          <w:sz w:val="28"/>
          <w:szCs w:val="28"/>
        </w:rPr>
        <w:t>й образовательной организации (</w:t>
      </w:r>
      <w:r>
        <w:rPr>
          <w:rFonts w:ascii="Times New Roman" w:eastAsia="Times New Roman" w:hAnsi="Times New Roman" w:cs="Times New Roman"/>
          <w:sz w:val="28"/>
          <w:szCs w:val="28"/>
        </w:rPr>
        <w:t>р.3, 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3.21 СанПиН 2.4.1.3049-13 « Санитарно-эпидемиологические требования к устройству, содержанию и организации режима работы дошкольных образовательных организаций»).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представитель МБОУ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«Детский сад №3 «Солнышко» </w:t>
      </w: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заведующего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Синикова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пояснила, что невыполнение предписания связано с объективными причинами. Указывает на то,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работа не произведена из-за отсутствия средств.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Неоднократно подавались заявки </w:t>
      </w:r>
      <w:r>
        <w:rPr>
          <w:rFonts w:ascii="Times New Roman" w:eastAsia="Times New Roman" w:hAnsi="Times New Roman" w:cs="Times New Roman"/>
          <w:sz w:val="28"/>
          <w:szCs w:val="28"/>
        </w:rPr>
        <w:t>в Управление образования на внесение сре</w:t>
      </w:r>
      <w:r>
        <w:rPr>
          <w:rFonts w:ascii="Times New Roman" w:eastAsia="Times New Roman" w:hAnsi="Times New Roman" w:cs="Times New Roman"/>
          <w:sz w:val="28"/>
          <w:szCs w:val="28"/>
        </w:rPr>
        <w:t>дств дл</w:t>
      </w:r>
      <w:r>
        <w:rPr>
          <w:rFonts w:ascii="Times New Roman" w:eastAsia="Times New Roman" w:hAnsi="Times New Roman" w:cs="Times New Roman"/>
          <w:sz w:val="28"/>
          <w:szCs w:val="28"/>
        </w:rPr>
        <w:t>я ремонта покрытия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бюджет, однако даже </w:t>
      </w:r>
      <w:r>
        <w:rPr>
          <w:rFonts w:ascii="Times New Roman" w:eastAsia="Times New Roman" w:hAnsi="Times New Roman" w:cs="Times New Roman"/>
          <w:sz w:val="28"/>
          <w:szCs w:val="28"/>
        </w:rPr>
        <w:t>на 2020 год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бюджет не заложены денежные средства для этих целей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Суд, исследовав материалы дела об административном правонарушении, приходит к следующему выводу.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ст. 24.1 КоАП Российской Федерации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 силу ч. 1 ст. 1.5 КоАП Российской Федерации лицо подлежит административной ответственности только за те административные правонарушения, в отношении которых установлена его вина.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Административная ответственность по ч. 1 ст. 19.5 КоАП Российской Федерации наступает за невыполнение в установленный срок законного предписания органа (должностного лица), осуществляющего </w:t>
      </w:r>
      <w:r>
        <w:rPr>
          <w:rFonts w:ascii="Times New Roman" w:eastAsia="Times New Roman" w:hAnsi="Times New Roman" w:cs="Times New Roman"/>
          <w:sz w:val="28"/>
          <w:szCs w:val="28"/>
        </w:rPr>
        <w:t>государственный надзор (контроль) об устранении нарушений законодательства. То есть лицо подлежит административной ответственности по данной норме закона только в случае умышленного невыполнения соответствующего предписания в установленный срок.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следует из материалов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протокола об административном правонарушении от 20.09.2019 г. главным специалистом-экспертом территориального отдела по Красногвардейскому району Межрегионального управления Федеральной службы по надзору в сфере защиты прав потребителей и благополучия человека по Республике Крым и </w:t>
      </w:r>
      <w:r>
        <w:rPr>
          <w:rStyle w:val="cat-Addressgrp-7rplc-2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Муромцевой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М.А. при проведении внеплановой проверки 20.09.2019 г. в 13 часов 30 минут в отношении Муниципального бюджетного дошкольного образовательного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5rplc-2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пгт</w:t>
      </w:r>
      <w:r>
        <w:rPr>
          <w:rFonts w:ascii="Times New Roman" w:eastAsia="Times New Roman" w:hAnsi="Times New Roman" w:cs="Times New Roman"/>
          <w:sz w:val="28"/>
          <w:szCs w:val="28"/>
        </w:rPr>
        <w:t>.К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расногвардейское Красногвардейского района Республики Крым (МБОУ « Детский сад № 3 «Солнышко»), </w:t>
      </w: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заведующего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Синикова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Галина Леонидовна, по адресу </w:t>
      </w:r>
      <w:r>
        <w:rPr>
          <w:rStyle w:val="cat-Addressgrp-9rplc-3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проводились мероприятия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государственному контролю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надзору) 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распоряжения заместителя руководителя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Межрегионального управления Федеральной службы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надзору в сфере защиты прав потребителей и благополучия человека по Республике Крым и </w:t>
      </w:r>
      <w:r>
        <w:rPr>
          <w:rStyle w:val="cat-Addressgrp-7rplc-3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13.09.2019 г. № 15-00142.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проверки выявлены следующие нарушения, допущенные юридическим лицом Муниципальным бюджетным дошкольным образовательным </w:t>
      </w:r>
      <w:r>
        <w:rPr>
          <w:rStyle w:val="cat-OrganizationNamegrp-25rplc-3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пгт</w:t>
      </w:r>
      <w:r>
        <w:rPr>
          <w:rFonts w:ascii="Times New Roman" w:eastAsia="Times New Roman" w:hAnsi="Times New Roman" w:cs="Times New Roman"/>
          <w:sz w:val="28"/>
          <w:szCs w:val="28"/>
        </w:rPr>
        <w:t>.К</w:t>
      </w:r>
      <w:r>
        <w:rPr>
          <w:rFonts w:ascii="Times New Roman" w:eastAsia="Times New Roman" w:hAnsi="Times New Roman" w:cs="Times New Roman"/>
          <w:sz w:val="28"/>
          <w:szCs w:val="28"/>
        </w:rPr>
        <w:t>расногвардейское Красногвардейского района Республики Крым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не выполнены предложения, данные в предписании от 04.09.2018 г., а именно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отремонтированы дорожные покрытия въезда и входа на территорию дошкольно</w:t>
      </w:r>
      <w:r>
        <w:rPr>
          <w:rFonts w:ascii="Times New Roman" w:eastAsia="Times New Roman" w:hAnsi="Times New Roman" w:cs="Times New Roman"/>
          <w:sz w:val="28"/>
          <w:szCs w:val="28"/>
        </w:rPr>
        <w:t>й образовательной организации (</w:t>
      </w:r>
      <w:r>
        <w:rPr>
          <w:rFonts w:ascii="Times New Roman" w:eastAsia="Times New Roman" w:hAnsi="Times New Roman" w:cs="Times New Roman"/>
          <w:sz w:val="28"/>
          <w:szCs w:val="28"/>
        </w:rPr>
        <w:t>р.3, п.3.21 СанПиН 2.4.1.3049-13 « Санитарно-эпидемиологические требования к устройству, содержанию и организации режима работы дошкольных образовательных организаций»).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Ответственность за данные 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(бездействия) предусмотрена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 ч.1 ст.19.5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26.1 КоАП РФ по делу об административном правонарушении подлежат выяснению: наличие события административного правонарушения; лицо, совершившее противоправные действия (бездействие), за которые данным Кодексом или законом субъекта Российской Федерации предусмотрена административная ответственность; виновность лица в совершении административного правонарушения; обстоятельства, смягчающие административную ответственность, и обстоятельства, отягчающие административную ответственность; характер и размер ущерба, причиненного административным правонарушением; обстоятельства, исключающие производство по делу об административном правонарушении;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буквального толкования диспозиции ч.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19.5 КоАП РФ следует, что объективная сторона предусмотренного ею состава административного правонарушения состоит в невыполнении в установленный срок предписания об устранении нарушений законодательства, которое является законным.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Законность предписания означает, что на лицо, которому оно адресовано, может быть возложена обязанность по устранению лишь тех нарушений, соблюдение которых обязательно для него в силу закона, а сами требования должны быть реально исполнимыми.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Исполнимость предписания является важным требованием, предъявляемым к данному виду ненормативных правовых актов, и одним из элементов законности предписания, поскольку оно исходит от государственного органа, обладающего властными полномочиями, носит обязательный характер, и для его исполнения устанавливается определенный срок, за нарушение которого наступает административная ответственность.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Важной гарантией эффективности государственного управления является выполнение в установленный срок выданных уполномоченными органами и должностными лицами предписаний об устранении выявленных в ходе контрольно-надзорных мероприятий нарушений действующего законодательства РФ, специальных норм и правил.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Реагирование на выявленные нарушения законности является как правом, так и обязанностью соответствующих уполномоченных органов и должностных лиц, осуществляющих функции государственного контроля и надзора, в установленных сферах деятельности и государственного управления.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Как установлено в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следует из писем, направленных на имя </w:t>
      </w:r>
      <w:r>
        <w:rPr>
          <w:rFonts w:ascii="Times New Roman" w:eastAsia="Times New Roman" w:hAnsi="Times New Roman" w:cs="Times New Roman"/>
          <w:sz w:val="28"/>
          <w:szCs w:val="28"/>
        </w:rPr>
        <w:t>начальника управления образования Администрации Красногвардейского района Республики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Крым, должностным лицом предпринимались меры для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устранения указанных недостатков.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пись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</w:rPr>
        <w:t>начальника управления образования Администрации Красногвардейского района Республики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Крым 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19.08.2019 года заявки приняты в план капитального ремонта и направлены в Министерство образования, науки и молодежи Республики Крым, однако </w:t>
      </w:r>
      <w:r>
        <w:rPr>
          <w:rFonts w:ascii="Times New Roman" w:eastAsia="Times New Roman" w:hAnsi="Times New Roman" w:cs="Times New Roman"/>
          <w:sz w:val="28"/>
          <w:szCs w:val="28"/>
        </w:rPr>
        <w:t>бюджетом на 2019 год не предусмотрены.</w:t>
      </w:r>
    </w:p>
    <w:p>
      <w:pPr>
        <w:spacing w:before="0" w:after="0" w:line="280" w:lineRule="atLeast"/>
        <w:ind w:firstLine="709"/>
        <w:jc w:val="both"/>
      </w:pP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вина </w:t>
      </w:r>
      <w:r>
        <w:rPr>
          <w:rFonts w:ascii="Times New Roman" w:eastAsia="Times New Roman" w:hAnsi="Times New Roman" w:cs="Times New Roman"/>
          <w:sz w:val="28"/>
          <w:szCs w:val="28"/>
        </w:rPr>
        <w:t>юридического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умышленном невыполнении предписания органа (должностного лица), осуществляющего государственный надзор (контроль) об устранении нарушений законодательства, не нашла своего подтверждения в судебном заседании; невыполнение соответствующего предписания в указанной части связано с причинами, независящими от должностных лиц. 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обстоятельствах, суд приходит к выводу об отсутствии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юридического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бюджетного дошкольного образовательного </w:t>
      </w:r>
      <w:r>
        <w:rPr>
          <w:rStyle w:val="cat-OrganizationNamegrp-24rplc-4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состава административного правонарушения, предусмотренного ч. 1 ст. 19.5 КоАП Российской Федерации, в </w:t>
      </w:r>
      <w:r>
        <w:rPr>
          <w:rFonts w:ascii="Times New Roman" w:eastAsia="Times New Roman" w:hAnsi="Times New Roman" w:cs="Times New Roman"/>
          <w:sz w:val="28"/>
          <w:szCs w:val="28"/>
        </w:rPr>
        <w:t>связи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чем производство по делу подлежит прекращению на основании п. 2 ч. 1 ст. 24.5 КоАП Российской Федерации.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п. 2 ч. 1 ст. 24.5, ст. ст. 29.9 – 29.11 КоАП Российской Федерации, суд</w:t>
      </w:r>
    </w:p>
    <w:p>
      <w:pPr>
        <w:spacing w:before="0" w:after="0" w:line="280" w:lineRule="atLeast"/>
        <w:ind w:firstLine="709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 w:line="280" w:lineRule="atLeast"/>
        <w:ind w:firstLine="709"/>
        <w:jc w:val="both"/>
      </w:pP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Производство по делу об административном правонарушении, предусмотренном ч. 1 ст. 19.5 КоАП Российской Федерации,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юридического </w:t>
      </w:r>
      <w:r>
        <w:rPr>
          <w:rFonts w:ascii="Times New Roman" w:eastAsia="Times New Roman" w:hAnsi="Times New Roman" w:cs="Times New Roman"/>
          <w:sz w:val="28"/>
          <w:szCs w:val="28"/>
        </w:rPr>
        <w:t>лица Муниципальн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бюджетн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дошкольн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4rplc-4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прекратить на основании п. 2 ч. 1 ст. 24.5 КоАП Российской Федерации.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200" w:line="276" w:lineRule="auto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И.В. Чернецкая</w:t>
      </w:r>
    </w:p>
    <w:p>
      <w:pPr>
        <w:spacing w:before="0" w:after="0" w:line="240" w:lineRule="atLeast"/>
        <w:ind w:firstLine="709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OrganizationNamegrp-24rplc-7">
    <w:name w:val="cat-OrganizationName grp-24 rplc-7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OrganizationNamegrp-24rplc-13">
    <w:name w:val="cat-OrganizationName grp-24 rplc-13"/>
    <w:basedOn w:val="DefaultParagraphFont"/>
  </w:style>
  <w:style w:type="character" w:customStyle="1" w:styleId="cat-Addressgrp-7rplc-24">
    <w:name w:val="cat-Address grp-7 rplc-24"/>
    <w:basedOn w:val="DefaultParagraphFont"/>
  </w:style>
  <w:style w:type="character" w:customStyle="1" w:styleId="cat-OrganizationNamegrp-25rplc-28">
    <w:name w:val="cat-OrganizationName grp-25 rplc-28"/>
    <w:basedOn w:val="DefaultParagraphFont"/>
  </w:style>
  <w:style w:type="character" w:customStyle="1" w:styleId="cat-Addressgrp-9rplc-32">
    <w:name w:val="cat-Address grp-9 rplc-32"/>
    <w:basedOn w:val="DefaultParagraphFont"/>
  </w:style>
  <w:style w:type="character" w:customStyle="1" w:styleId="cat-Addressgrp-7rplc-34">
    <w:name w:val="cat-Address grp-7 rplc-34"/>
    <w:basedOn w:val="DefaultParagraphFont"/>
  </w:style>
  <w:style w:type="character" w:customStyle="1" w:styleId="cat-OrganizationNamegrp-25rplc-36">
    <w:name w:val="cat-OrganizationName grp-25 rplc-36"/>
    <w:basedOn w:val="DefaultParagraphFont"/>
  </w:style>
  <w:style w:type="character" w:customStyle="1" w:styleId="cat-OrganizationNamegrp-24rplc-45">
    <w:name w:val="cat-OrganizationName grp-24 rplc-45"/>
    <w:basedOn w:val="DefaultParagraphFont"/>
  </w:style>
  <w:style w:type="character" w:customStyle="1" w:styleId="cat-OrganizationNamegrp-24rplc-47">
    <w:name w:val="cat-OrganizationName grp-24 rplc-4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