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1245-95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Кузьменко Александра Васильевича,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по адресу: Республика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СК «Мелиоратор», ул. 5, д.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минуты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мопед </w:t>
      </w:r>
      <w:r>
        <w:rPr>
          <w:rFonts w:ascii="Times New Roman" w:eastAsia="Times New Roman" w:hAnsi="Times New Roman" w:cs="Times New Roman"/>
          <w:sz w:val="28"/>
          <w:szCs w:val="28"/>
        </w:rPr>
        <w:t>Сузуки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номера,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Тельмана в районе дома № 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Красногвардейского района Республики Крым,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 – мопед не подлежит государственной регистрации.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правонарушения не отрицал, пояснил, что отказался пройти освидетельствование на месте и от медицинского освидетельствования в медицинском учреждении, т.к. ранее употребил спиртосодержащую продукцию.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97128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ноября 2020 года в 12 часов 40 минуты водитель Кузьменко А.В., управлял транспортным средством – мопед </w:t>
      </w:r>
      <w:r>
        <w:rPr>
          <w:rFonts w:ascii="Times New Roman" w:eastAsia="Times New Roman" w:hAnsi="Times New Roman" w:cs="Times New Roman"/>
          <w:sz w:val="28"/>
          <w:szCs w:val="28"/>
        </w:rPr>
        <w:t>Сузуки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номера, по ул. Тельмана в районе дома № 29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Красногвардейского района Республики Крым,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об отстранении от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 транспортным средством серии 82ОТ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017767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серии 61 АК № 60</w:t>
      </w:r>
      <w:r>
        <w:rPr>
          <w:rFonts w:ascii="Times New Roman" w:eastAsia="Times New Roman" w:hAnsi="Times New Roman" w:cs="Times New Roman"/>
          <w:sz w:val="28"/>
          <w:szCs w:val="28"/>
        </w:rPr>
        <w:t>6151 от 25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 не имеет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транспортными средствами, то судья квалифицирует его действия по ч. 2 ст. 12.26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правонарушение, а также личность правонарушителя.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Кузьменко Александра Васильевича, </w:t>
      </w:r>
      <w:r>
        <w:rPr>
          <w:rStyle w:val="cat-ExternalSystemDefinedgrp-2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</w:t>
      </w:r>
      <w:r>
        <w:rPr>
          <w:rFonts w:ascii="Times New Roman" w:eastAsia="Times New Roman" w:hAnsi="Times New Roman" w:cs="Times New Roman"/>
          <w:sz w:val="28"/>
          <w:szCs w:val="28"/>
        </w:rPr>
        <w:t>е ареста исчислять с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30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0rplc-42">
    <w:name w:val="cat-ExternalSystemDefined grp-20 rplc-42"/>
    <w:basedOn w:val="DefaultParagraphFont"/>
  </w:style>
  <w:style w:type="character" w:customStyle="1" w:styleId="cat-PassportDatagrp-15rplc-43">
    <w:name w:val="cat-PassportData grp-1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