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5-54-335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125</w:t>
      </w:r>
      <w:r>
        <w:rPr>
          <w:rFonts w:ascii="Times New Roman" w:eastAsia="Times New Roman" w:hAnsi="Times New Roman" w:cs="Times New Roman"/>
          <w:sz w:val="28"/>
          <w:szCs w:val="28"/>
        </w:rPr>
        <w:t>7-59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Владимировича,</w:t>
      </w:r>
      <w:r>
        <w:rPr>
          <w:rStyle w:val="cat-ExternalSystemDefinedgrp-3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атамана Хуторского казачьего общества « Черноморская сотня»,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15.5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 Владимирович, являясь атаманом Хуторского казачьего общества « Черноморская сотня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налоговую декларацию (расчет по страховым взносам) в налоговый орган по месту учета, а именно расчет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КНД 1151111)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3 месяца 2020 года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ответственность за которое предусмотрена 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п.7 ст.431 НК РФ плательщики, указанные в подпункте 1 пункта 1 статьи 419 НК РФ ( за исключением физических лиц, производящих выплаты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указанные в подпункте 3 пункта статьи 422 НК РФ)</w:t>
      </w:r>
      <w:r>
        <w:rPr>
          <w:rFonts w:ascii="Times New Roman" w:eastAsia="Times New Roman" w:hAnsi="Times New Roman" w:cs="Times New Roman"/>
          <w:sz w:val="28"/>
          <w:szCs w:val="28"/>
        </w:rPr>
        <w:t>,п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правительства от 2 апреля 2020 г. № 409 п.3 продлить до 15 мая 2020 года – срок предоставления налоговых деклараций по налогу на добавленную стоимость, журналов учета полученных и выставленных счетов-фактур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5.2 статьи 174 НК </w:t>
      </w:r>
      <w:r>
        <w:rPr>
          <w:rFonts w:ascii="Times New Roman" w:eastAsia="Times New Roman" w:hAnsi="Times New Roman" w:cs="Times New Roman"/>
          <w:sz w:val="28"/>
          <w:szCs w:val="28"/>
        </w:rPr>
        <w:t>РФ) и расчетов по страховым взносам за 1 квартал 2020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 расчет по страховым взноса</w:t>
      </w:r>
      <w:r>
        <w:rPr>
          <w:rFonts w:ascii="Times New Roman" w:eastAsia="Times New Roman" w:hAnsi="Times New Roman" w:cs="Times New Roman"/>
          <w:sz w:val="28"/>
          <w:szCs w:val="28"/>
        </w:rPr>
        <w:t>м (КНД 1151111)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3 месяца 2020 года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18.08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г.,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извещением о подтверждении даты отправки, квитанцией о приеме налоговой деклараци</w:t>
      </w:r>
      <w:r>
        <w:rPr>
          <w:rFonts w:ascii="Times New Roman" w:eastAsia="Times New Roman" w:hAnsi="Times New Roman" w:cs="Times New Roman"/>
          <w:sz w:val="28"/>
          <w:szCs w:val="28"/>
        </w:rPr>
        <w:t>и(</w:t>
      </w:r>
      <w:r>
        <w:rPr>
          <w:rFonts w:ascii="Times New Roman" w:eastAsia="Times New Roman" w:hAnsi="Times New Roman" w:cs="Times New Roman"/>
          <w:sz w:val="28"/>
          <w:szCs w:val="28"/>
        </w:rPr>
        <w:t>расчета) в электронном виде.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16.05.</w:t>
      </w:r>
      <w:r>
        <w:rPr>
          <w:rFonts w:ascii="Times New Roman" w:eastAsia="Times New Roman" w:hAnsi="Times New Roman" w:cs="Times New Roman"/>
          <w:sz w:val="28"/>
          <w:szCs w:val="28"/>
        </w:rPr>
        <w:t>2020 г. Местом совершения правонарушения является адрес юридического лица: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ст.15.5 КоАП РФ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предупреждение или наложение административного штрафа на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извещался судом о времени и месте рассмотрения дела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160"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160"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также подтверждается письменными доказательствами, имеющимися в материалах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30.11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выписки из ЕГРЮЛ, </w:t>
      </w:r>
      <w:r>
        <w:rPr>
          <w:rFonts w:ascii="Times New Roman" w:eastAsia="Times New Roman" w:hAnsi="Times New Roman" w:cs="Times New Roman"/>
          <w:sz w:val="28"/>
          <w:szCs w:val="28"/>
        </w:rPr>
        <w:t>копией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15.5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ст. 15.5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Владимировича,</w:t>
      </w:r>
      <w:r>
        <w:rPr>
          <w:rStyle w:val="cat-ExternalSystemDefinedgrp-36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правонарушения по ст. 15.5 КоАП РФ и назначить ему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04752203230),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40101810335100010001, ОКТМО 35620000, ИНН 9102013284,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КПП 910201001, КБК 828 1 16 01153 01 0005 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04351</w:t>
      </w:r>
      <w:r>
        <w:rPr>
          <w:rFonts w:ascii="Times New Roman" w:eastAsia="Times New Roman" w:hAnsi="Times New Roman" w:cs="Times New Roman"/>
          <w:sz w:val="28"/>
          <w:szCs w:val="28"/>
        </w:rPr>
        <w:t>0001, 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5-54-335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/2020).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ExternalSystemDefinedgrp-36rplc-36">
    <w:name w:val="cat-ExternalSystemDefined grp-36 rplc-36"/>
    <w:basedOn w:val="DefaultParagraphFont"/>
  </w:style>
  <w:style w:type="character" w:customStyle="1" w:styleId="cat-PassportDatagrp-26rplc-37">
    <w:name w:val="cat-PassportData grp-2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