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398/2019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0054-01-2019-001255-49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декабря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здравоохранения Республики Крым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Ирины Эдуардовны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ССР, зарегистрированной и проживающей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Бакулина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здравоохранения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расчета по авансовому платежу по налогу на имущество организаций за 1 квартал 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ст.372 Налогового кодекса Российской Федерации, налог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организаций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налоге на имущество организаций» № 7-ЗРК/2014 от 19.11.2014 г. на территории Республики Крым устанавливается и вводится в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на имущество организаций. Согласно ст.7 вышеуказанного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вступает в силу с 01 января 2015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ст.374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налогового расчета по авансовому платежу по налогу на имущество организаций рег. № 793530441 от 07.05.2019 г. предоставленного ГБУЗ РК «Красногвардейская ЦРБ», организация имеет основные средства являющиеся объектом налогообложения налога на имущество организаций,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 Красногвардейская ЦРБ» является плательщиком налога на имущество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 386 Налогового Кодекса РФ, налогоплательщики обязаны по истечении каждого отчетного и налогового периода предоставлять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 (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отдельный порядок исчисления и уплаты налога), по месту нахождения имущества, в</w:t>
      </w:r>
      <w:r>
        <w:rPr>
          <w:rFonts w:ascii="Times New Roman" w:eastAsia="Times New Roman" w:hAnsi="Times New Roman" w:cs="Times New Roman"/>
          <w:sz w:val="28"/>
          <w:szCs w:val="28"/>
        </w:rPr>
        <w:t>ходящего в состав Единой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газоснабжения, если иное не предусмотрено наст</w:t>
      </w:r>
      <w:r>
        <w:rPr>
          <w:rFonts w:ascii="Times New Roman" w:eastAsia="Times New Roman" w:hAnsi="Times New Roman" w:cs="Times New Roman"/>
          <w:sz w:val="28"/>
          <w:szCs w:val="28"/>
        </w:rPr>
        <w:t>оящим пунктом, налоговые расчеты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авансовым платежам по налогу и налоговую декларацию по налогу.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ст.386 НК РФ, налогоплательщики представляют налоговые расчеты по авансовым платежам по налогу не позднее 30 календарных дней,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окончания соответствующего отчетного периода. Предельный срок представления налогового расчета по авансовому платежу по налогу на имущество организаций за 1 квартал 2019 года – 30.04.2019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налоговый расчет по авансовому платежу по налогу на имущество организаций за 1 квартал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07.05.2019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Временем совершения правонарушения является 01.05.2019 г., местом совершения правонарушения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 ст.386 НК РФ, главным бухгалтером Государственного бюджетного учреждения здравоохранения Республики Крым «Красногвардейская ЦРБ» не обеспечено представление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налогах и сборах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Бакулина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24.03.2005 №5 «О некоторых вопросах, возникающих у судов 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 № 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трудового договора № 96 от 14.03.2018 г.,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 о приеме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253-к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И.Э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Бакулиной И.Э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Бакулину Ирину Эдуардовну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ч. 1 ст. 15.6 КоАП РФ и 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18211603030016000140,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398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ExternalSystemDefinedgrp-41rplc-48">
    <w:name w:val="cat-ExternalSystemDefined grp-41 rplc-48"/>
    <w:basedOn w:val="DefaultParagraphFont"/>
  </w:style>
  <w:style w:type="character" w:customStyle="1" w:styleId="cat-PassportDatagrp-32rplc-49">
    <w:name w:val="cat-PassportData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