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возле кафе «</w:t>
      </w:r>
      <w:r>
        <w:rPr>
          <w:rFonts w:ascii="Times New Roman" w:eastAsia="Times New Roman" w:hAnsi="Times New Roman" w:cs="Times New Roman"/>
          <w:sz w:val="28"/>
          <w:szCs w:val="28"/>
        </w:rPr>
        <w:t>Шаурмания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расногвардейсоке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10.01.2019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10.01.2019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РК «Красногвардейская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наркотического,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серии 35 №</w:t>
      </w:r>
      <w:r>
        <w:rPr>
          <w:rFonts w:ascii="Times New Roman" w:eastAsia="Times New Roman" w:hAnsi="Times New Roman" w:cs="Times New Roman"/>
          <w:sz w:val="28"/>
          <w:szCs w:val="28"/>
        </w:rPr>
        <w:t>000288 от 10.01.2019г.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 назначить административное наказание в виде штрафа, предусмотренного санкцией ст. 20.21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18880491190002105899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