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№55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и проживающей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 факт </w:t>
      </w:r>
      <w:r>
        <w:rPr>
          <w:rFonts w:ascii="Times New Roman" w:eastAsia="Times New Roman" w:hAnsi="Times New Roman" w:cs="Times New Roman"/>
          <w:sz w:val="28"/>
          <w:szCs w:val="28"/>
        </w:rPr>
        <w:t>самовольно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подключ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электрической сети </w:t>
      </w:r>
      <w:r>
        <w:rPr>
          <w:rStyle w:val="cat-OrganizationNamegrp-2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электросчетчик </w:t>
      </w:r>
      <w:r>
        <w:rPr>
          <w:rFonts w:ascii="Times New Roman" w:eastAsia="Times New Roman" w:hAnsi="Times New Roman" w:cs="Times New Roman"/>
          <w:sz w:val="28"/>
          <w:szCs w:val="28"/>
        </w:rPr>
        <w:t>nik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210202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квартире 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что привело к самовольному (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использованию электрической энергии. Действия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явилась, извещена судом надлежащим образом, что подтверждается распиской об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рассмотрения дела мировому судье не поступало. В материалах дела имеется заявление о рассмотрении дела об административном правонарушении в ее отсутствие и признании вины по указанному правонарушению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"consultantplus://offline/ref=FA94617E7B7B138384A9C6F45C4F8A2E54374391BFB36191CE7FDEF3714CB74408B2D5B317837F7BF2547DC59B95944AFE5CBA731F0B269EQCPAI"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7.19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использование электрической, тепловой энергии, нефти, газа или </w:t>
      </w:r>
      <w:r>
        <w:rPr>
          <w:rFonts w:ascii="Times New Roman" w:eastAsia="Times New Roman" w:hAnsi="Times New Roman" w:cs="Times New Roman"/>
          <w:sz w:val="28"/>
          <w:szCs w:val="28"/>
        </w:rPr>
        <w:t>нефтепродуктов, если эти действия не содержат уголовно наказуемого деяния, влечет наложение административного штрафа на граждан в размере от десяти т</w:t>
      </w:r>
      <w:r>
        <w:rPr>
          <w:rFonts w:ascii="Times New Roman" w:eastAsia="Times New Roman" w:hAnsi="Times New Roman" w:cs="Times New Roman"/>
          <w:sz w:val="28"/>
          <w:szCs w:val="28"/>
        </w:rPr>
        <w:t>ысяч до пятнадцати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"consultantplus://offline/ref=133DDB287BEC4F2D0D39002E02CE776796FC118824F6A1B090ACDD447368E9414C17DD4B74D7BD5DC6E3DB92DA6CE4140F60C9BDADHFT3I"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пункту 193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N 442, в акте о неучтенном потреблении электрической энергии должны содержаться данные о лице, осуществляющем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бездоговорное потребление электрической энергии; о способе и месте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бездоговорного потребления электрической энергии; о приборах учета на момент составления акта;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дате предыдущей проверки приборов учета - в случае выявления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потребления, дате предыдущей проверки технического состояния объектов электросетевого хозяйства в месте, где выявлено бездоговорное потребление электрической энергии, - в случае выявления бездоговорного потребления; объяснения лица,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бездоговорное потребление электрической энергии, относительно выявленного факта; замечания к составленному акту (при их наличии).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акта о неучтенном потреблении электрической энергии должен присутствовать потребитель, осуществляющий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(обслуживающий его гарантирующий поставщик (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энергоснабжающая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организация)), или лицо, осуществляющее бездоговорное потребление электрической энергии.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 лица,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бездоговорное потребление электрической энергии, от подписания составленного акта о неучтенном потреблении электрической энергии,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энергии, составленном в присутствии 2 незаинтересованных лиц.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электрической энергии от источника электроснабжения </w:t>
      </w:r>
      <w:r>
        <w:rPr>
          <w:rStyle w:val="cat-OrganizationNamegrp-23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правонарушении, рапортом, постановлением об отказе в возбуждении уголовного дела, письменными объяснениями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осмотра места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\бездоговорном потреблении электрической энергии,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ограничения режима потребления электрической энергии </w:t>
      </w:r>
      <w:r>
        <w:rPr>
          <w:rFonts w:ascii="Times New Roman" w:eastAsia="Times New Roman" w:hAnsi="Times New Roman" w:cs="Times New Roman"/>
          <w:sz w:val="28"/>
          <w:szCs w:val="28"/>
        </w:rPr>
        <w:t>/отказа в доступе к введению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режима ограничения потребления электрической энергии,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заявлением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суд признает раскаяние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1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29.9, 29.10 КоАП РФ, судья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КБК 18811</w:t>
      </w:r>
      <w:r>
        <w:rPr>
          <w:rFonts w:ascii="Times New Roman" w:eastAsia="Times New Roman" w:hAnsi="Times New Roman" w:cs="Times New Roman"/>
          <w:sz w:val="28"/>
          <w:szCs w:val="28"/>
        </w:rPr>
        <w:t>612000016000140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000210</w:t>
      </w:r>
      <w:r>
        <w:rPr>
          <w:rFonts w:ascii="Times New Roman" w:eastAsia="Times New Roman" w:hAnsi="Times New Roman" w:cs="Times New Roman"/>
          <w:sz w:val="28"/>
          <w:szCs w:val="28"/>
        </w:rPr>
        <w:t>5910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8264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1">
    <w:name w:val="cat-Address grp-0 rplc-1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OrganizationNamegrp-24rplc-12">
    <w:name w:val="cat-OrganizationName grp-2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OrganizationNamegrp-23rplc-20">
    <w:name w:val="cat-OrganizationName grp-2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DF22-021A-4E05-967D-F4B7A4302C2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