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№5-55-</w:t>
      </w:r>
      <w:r>
        <w:rPr>
          <w:rFonts w:ascii="Times New Roman" w:eastAsia="Times New Roman" w:hAnsi="Times New Roman" w:cs="Times New Roman"/>
          <w:sz w:val="28"/>
          <w:szCs w:val="28"/>
        </w:rPr>
        <w:t>96</w:t>
      </w:r>
      <w:r>
        <w:rPr>
          <w:rFonts w:ascii="Times New Roman" w:eastAsia="Times New Roman" w:hAnsi="Times New Roman" w:cs="Times New Roman"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пгт.Красногвардейское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№55 Красногвардейского судебного района Республики Крым </w:t>
      </w:r>
      <w:r>
        <w:rPr>
          <w:rStyle w:val="cat-FIOgrp-14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160" w:line="259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судебном заседании дело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4"/>
          <w:rFonts w:ascii="Times New Roman" w:eastAsia="Times New Roman" w:hAnsi="Times New Roman" w:cs="Times New Roman"/>
          <w:sz w:val="28"/>
          <w:szCs w:val="28"/>
        </w:rPr>
        <w:t>должность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2rplc-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1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3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16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должностным лицом </w:t>
      </w:r>
      <w:r>
        <w:rPr>
          <w:rStyle w:val="cat-UserDefinedgrp-31rplc-13"/>
          <w:rFonts w:ascii="Times New Roman" w:eastAsia="Times New Roman" w:hAnsi="Times New Roman" w:cs="Times New Roman"/>
          <w:sz w:val="28"/>
          <w:szCs w:val="28"/>
        </w:rPr>
        <w:t>должность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2rplc-1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представил </w:t>
      </w:r>
      <w:r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контроля, а именно налогового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асчета по авансовому платежу по налогу на имущество организаций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полугодие </w:t>
      </w:r>
      <w:r>
        <w:rPr>
          <w:rFonts w:ascii="Times New Roman" w:eastAsia="Times New Roman" w:hAnsi="Times New Roman" w:cs="Times New Roman"/>
          <w:sz w:val="28"/>
          <w:szCs w:val="28"/>
        </w:rPr>
        <w:t>2018 года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рассмотрения дела </w:t>
      </w:r>
      <w:r>
        <w:rPr>
          <w:rStyle w:val="cat-FIOgrp-16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вину в совершении административного правонарушения признал, раскаял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выслушав </w:t>
      </w: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исследовав в совокупности материалы дела об административном правонарушении, приходит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ст.1 Закона Республики Крым «О налоге на имущество организаций» №7-ЗРК/2014 от 19.11.2014 г. на территории Республики Крым устанавливается и вводится в действие налог на имущество организаций. Согласно ст.7 вышеуказанного закона, он вступает в силу с 01 января 2015 года.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п.1 ст.373 НК РФ, налогоплательщиками налога на имущество организаций признаются организации, имеющие имущество, признаваемое объектом налогообложения в соответствии со статьей 374 настоящего Кодекса.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п.1 ст.374 НК РФ, объектами налогообложения для российских организаций признается движимое и недвижимое имущество (в том числе имущество, переданное во временное владение, в пользование, распоряжение, доверительное управление, внесенное в совместную деятельность или полученное по концессионному соглашению), учитываемое на балансе в качестве объектов основных средств в порядке, установленном </w:t>
      </w:r>
      <w:r>
        <w:rPr>
          <w:rFonts w:ascii="Times New Roman" w:eastAsia="Times New Roman" w:hAnsi="Times New Roman" w:cs="Times New Roman"/>
          <w:sz w:val="28"/>
          <w:szCs w:val="28"/>
        </w:rPr>
        <w:t>для ведения бухгалтерского учета, если иное не предусмотрено статьями 378, 378.1 и 378.2 настоящего Кодекса.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данным налогового расчета по авансовому платежу по налогу на имущество организаций </w:t>
      </w:r>
      <w:r>
        <w:rPr>
          <w:rFonts w:ascii="Times New Roman" w:eastAsia="Times New Roman" w:hAnsi="Times New Roman" w:cs="Times New Roman"/>
          <w:sz w:val="28"/>
          <w:szCs w:val="28"/>
        </w:rPr>
        <w:t>peг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№ </w:t>
      </w:r>
      <w:r>
        <w:rPr>
          <w:rFonts w:ascii="Times New Roman" w:eastAsia="Times New Roman" w:hAnsi="Times New Roman" w:cs="Times New Roman"/>
          <w:sz w:val="28"/>
          <w:szCs w:val="28"/>
        </w:rPr>
        <w:t>3151180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представленного </w:t>
      </w:r>
      <w:r>
        <w:rPr>
          <w:rStyle w:val="cat-UserDefinedgrp-29rplc-2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организация имеет основные средства являющиеся объектом налогообложения налога на имущество организаций, в связи с чем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плательщиком налога на имущество организаций.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п.1 ст. 386 Налогового кодекса Российской Федерации, налогоплательщики обязаны по истечении каждого отчетного и налогового периода представлять в налоговые органы по своему местонахождению, по местонахождению каждого своего обособленного подразделения, имеющего отдельный баланс, а также по местонахождению каждого объекта недвижимого имущества (в отношении которого установлен отдельный порядок исчисления и уплаты налога), по месту нахождения имущества, входящего в состав Единой системы газоснабжения, если иное не предусмотрено настоящим пунктом, налоговые расчеты по авансовым платежам по налогу и налоговую декларацию по налогу.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п.2 ст. 386 НК РФ, налогоплательщики представляют налоговые расчеты по авансовым платежам по налогу не позднее 30 календарных дней с даты окончания соответствующего отчетного периода. В соответствии с п.7 ст. 6.1 НК РФ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 Предельный срок представления налогового расчета по авансовому платежу по налогу на имущество организаций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полугодие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2018 года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.2018 г.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 налоговый расчет по авансовому платежу по налогу на имущество организаций за </w:t>
      </w:r>
      <w:r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2018 года представлен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.2018 г.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п.2, ст. 386 Налогового кодекса Российской Федерации, </w:t>
      </w:r>
      <w:r>
        <w:rPr>
          <w:rStyle w:val="cat-UserDefinedgrp-31rplc-30"/>
          <w:rFonts w:ascii="Times New Roman" w:eastAsia="Times New Roman" w:hAnsi="Times New Roman" w:cs="Times New Roman"/>
          <w:sz w:val="28"/>
          <w:szCs w:val="28"/>
        </w:rPr>
        <w:t>должность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3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обеспечено представление в установленный законодательством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контроля, а именно налогового расчета но авансовому платежу по налогу на имущество организаций за </w:t>
      </w:r>
      <w:r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2018 г.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ч.1, ч.3 ст.7 Федерального Закона «О бухгалтерском учете» от 06.12.2011 г. № 402-ФЗ ведение бухгалтерского учета и хранение документов бухгалтерского учета организуются руководителем экономического субъекта.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экономического субъекта обязан возложить ведение бухгалтерского учета на главного бухгалтера или иное должностное лицо этого субъекта.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главный бухгалтер, иное должностное лицо, на которые возложены обязанности по представлению в налоговый орган налоговых деклараций </w:t>
      </w:r>
      <w:r>
        <w:rPr>
          <w:rFonts w:ascii="Times New Roman" w:eastAsia="Times New Roman" w:hAnsi="Times New Roman" w:cs="Times New Roman"/>
          <w:sz w:val="28"/>
          <w:szCs w:val="28"/>
        </w:rPr>
        <w:t>в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отсутствовали.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2.4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Совершившие административные правонарушения в связи с выполнением организационно 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 (примечание к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2.4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>
        <w:rPr>
          <w:rStyle w:val="cat-FIOgrp-16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субъектом ответственности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15.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РФ, что подтверждается приказом №</w:t>
      </w:r>
      <w:r>
        <w:rPr>
          <w:rFonts w:ascii="Times New Roman" w:eastAsia="Times New Roman" w:hAnsi="Times New Roman" w:cs="Times New Roman"/>
          <w:sz w:val="28"/>
          <w:szCs w:val="28"/>
        </w:rPr>
        <w:t>16-пр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о </w:t>
      </w:r>
      <w:r>
        <w:rPr>
          <w:rFonts w:ascii="Times New Roman" w:eastAsia="Times New Roman" w:hAnsi="Times New Roman" w:cs="Times New Roman"/>
          <w:sz w:val="28"/>
          <w:szCs w:val="28"/>
        </w:rPr>
        <w:t>переводе работника на другую работу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должностной инструкцией </w:t>
      </w:r>
      <w:r>
        <w:rPr>
          <w:rStyle w:val="cat-UserDefinedgrp-30rplc-38"/>
          <w:rFonts w:ascii="Times New Roman" w:eastAsia="Times New Roman" w:hAnsi="Times New Roman" w:cs="Times New Roman"/>
          <w:sz w:val="28"/>
          <w:szCs w:val="28"/>
        </w:rPr>
        <w:t>должность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7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ответственность за которое предусмотрена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"http://home.garant.ru/" \l "/document/12125267/entry/15332"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15.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подтверждается совокупностью собранных по делу доказательств, а именно протоколом об административном правонарушении, распечаткой из </w:t>
      </w:r>
      <w:r>
        <w:rPr>
          <w:rStyle w:val="cat-FIOgrp-18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подтверждением даты отправки, квитанцией о приеме налоговой декларации (расчета) в электронном виде, </w:t>
      </w:r>
      <w:r>
        <w:rPr>
          <w:rFonts w:ascii="Times New Roman" w:eastAsia="Times New Roman" w:hAnsi="Times New Roman" w:cs="Times New Roman"/>
          <w:sz w:val="28"/>
          <w:szCs w:val="28"/>
        </w:rPr>
        <w:t>приказом №16-пр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01.09.2017 года о переводе работника на другую работу, должностной инструкцией </w:t>
      </w:r>
      <w:r>
        <w:rPr>
          <w:rStyle w:val="cat-UserDefinedgrp-30rplc-42"/>
          <w:rFonts w:ascii="Times New Roman" w:eastAsia="Times New Roman" w:hAnsi="Times New Roman" w:cs="Times New Roman"/>
          <w:sz w:val="28"/>
          <w:szCs w:val="28"/>
        </w:rPr>
        <w:t>должность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утвержденной </w:t>
      </w:r>
      <w:r>
        <w:rPr>
          <w:rFonts w:ascii="Times New Roman" w:eastAsia="Times New Roman" w:hAnsi="Times New Roman" w:cs="Times New Roman"/>
          <w:sz w:val="28"/>
          <w:szCs w:val="28"/>
        </w:rPr>
        <w:t>01.09.2017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составлен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"consultantplus://offline/ref=3E94ABAF9D18BF72601A4E2ADA15DA5BC003B83D309BE5C1F4B1B1E98D72CB1536421C6C0B101E24pA35G"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ст. 28.2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нем отражены все сведения, необходимые для разрешения дела.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Style w:val="cat-FIOgrp-17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"consultantplus://offline/ref=3E94ABAF9D18BF72601A4E2ADA15DA5BC003B83D309BE5C1F4B1B1E98D72CB1536421C690810p13BG"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ч.1 ст.15.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>6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судья полагает, что вина </w:t>
      </w:r>
      <w:r>
        <w:rPr>
          <w:rStyle w:val="cat-FIOgrp-17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ст.15.6 КоАП РФ, доказана и нашла свое подтверждение в ходе производства по делу об административном правонарушении.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7rplc-4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правильно квалифицированы по ч.1 ст.15.6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 </w:t>
      </w:r>
      <w:r>
        <w:rPr>
          <w:rStyle w:val="cat-FIOgrp-17rplc-4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в соответствии со ст. 4.2 КоАП РФ, мировой судья признает раскаяние.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Style w:val="cat-FIOgrp-17rplc-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ст.4.3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РФ, мировым судьей не установлено.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и руководствуясь ст. ч.1 ст.15.6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29.10 КоАП РФ, 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UserDefinedgrp-30rplc-49"/>
          <w:rFonts w:ascii="Times New Roman" w:eastAsia="Times New Roman" w:hAnsi="Times New Roman" w:cs="Times New Roman"/>
          <w:sz w:val="28"/>
          <w:szCs w:val="28"/>
        </w:rPr>
        <w:t>должность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5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2rplc-5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5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5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предусмотренного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 ст.15.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КоАП РФ, 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штрафа в размере 300 рублей.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"consultantplus://offline/ref=A6FCBBA40B09A4FB587F1D177046B1E8FF004B6BE32C0A0D2F12F857B125754DDF01FB3D707ECDB108R0G"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t>статьей 31.5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перечислению на счет получателя платежа 40101810335100010001, КБК 18211603030016000140, ОКТМО 35620401, получатель УФК по Республике Крым (Межрайонная ИФНС России №1), ИНН 9105000029, КПП 910501001. Наименование банка: Отделение по Республике Крым ЦБ РФ открытый УФК по РК,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БИК 043510001.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№55 Красногвардейского судебного района Республики Крым по адресу: пгт.Красногвардейское, ул.Титова, д.60.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№55 Красногвардейского судебного района Республики Крым в течение 10 суток со дня получения его копии.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Style w:val="cat-FIOgrp-19rplc-65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14rplc-3">
    <w:name w:val="cat-FIO grp-14 rplc-3"/>
    <w:basedOn w:val="DefaultParagraphFont"/>
  </w:style>
  <w:style w:type="character" w:customStyle="1" w:styleId="cat-UserDefinedgrp-30rplc-4">
    <w:name w:val="cat-UserDefined grp-30 rplc-4"/>
    <w:basedOn w:val="DefaultParagraphFont"/>
  </w:style>
  <w:style w:type="character" w:customStyle="1" w:styleId="cat-UserDefinedgrp-27rplc-5">
    <w:name w:val="cat-UserDefined grp-27 rplc-5"/>
    <w:basedOn w:val="DefaultParagraphFont"/>
  </w:style>
  <w:style w:type="character" w:customStyle="1" w:styleId="cat-OrganizationNamegrp-22rplc-6">
    <w:name w:val="cat-OrganizationName grp-22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FIOgrp-15rplc-8">
    <w:name w:val="cat-FIO grp-15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FIOgrp-16rplc-12">
    <w:name w:val="cat-FIO grp-16 rplc-12"/>
    <w:basedOn w:val="DefaultParagraphFont"/>
  </w:style>
  <w:style w:type="character" w:customStyle="1" w:styleId="cat-UserDefinedgrp-31rplc-13">
    <w:name w:val="cat-UserDefined grp-31 rplc-13"/>
    <w:basedOn w:val="DefaultParagraphFont"/>
  </w:style>
  <w:style w:type="character" w:customStyle="1" w:styleId="cat-UserDefinedgrp-27rplc-14">
    <w:name w:val="cat-UserDefined grp-27 rplc-14"/>
    <w:basedOn w:val="DefaultParagraphFont"/>
  </w:style>
  <w:style w:type="character" w:customStyle="1" w:styleId="cat-OrganizationNamegrp-22rplc-15">
    <w:name w:val="cat-OrganizationName grp-22 rplc-15"/>
    <w:basedOn w:val="DefaultParagraphFont"/>
  </w:style>
  <w:style w:type="character" w:customStyle="1" w:styleId="cat-Addressgrp-2rplc-16">
    <w:name w:val="cat-Address grp-2 rplc-16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UserDefinedgrp-29rplc-24">
    <w:name w:val="cat-UserDefined grp-29 rplc-24"/>
    <w:basedOn w:val="DefaultParagraphFont"/>
  </w:style>
  <w:style w:type="character" w:customStyle="1" w:styleId="cat-Addressgrp-2rplc-25">
    <w:name w:val="cat-Address grp-2 rplc-25"/>
    <w:basedOn w:val="DefaultParagraphFont"/>
  </w:style>
  <w:style w:type="character" w:customStyle="1" w:styleId="cat-UserDefinedgrp-31rplc-30">
    <w:name w:val="cat-UserDefined grp-31 rplc-30"/>
    <w:basedOn w:val="DefaultParagraphFont"/>
  </w:style>
  <w:style w:type="character" w:customStyle="1" w:styleId="cat-UserDefinedgrp-29rplc-31">
    <w:name w:val="cat-UserDefined grp-29 rplc-31"/>
    <w:basedOn w:val="DefaultParagraphFont"/>
  </w:style>
  <w:style w:type="character" w:customStyle="1" w:styleId="cat-Addressgrp-2rplc-32">
    <w:name w:val="cat-Address grp-2 rplc-32"/>
    <w:basedOn w:val="DefaultParagraphFont"/>
  </w:style>
  <w:style w:type="character" w:customStyle="1" w:styleId="cat-FIOgrp-16rplc-36">
    <w:name w:val="cat-FIO grp-16 rplc-36"/>
    <w:basedOn w:val="DefaultParagraphFont"/>
  </w:style>
  <w:style w:type="character" w:customStyle="1" w:styleId="cat-UserDefinedgrp-30rplc-38">
    <w:name w:val="cat-UserDefined grp-30 rplc-38"/>
    <w:basedOn w:val="DefaultParagraphFont"/>
  </w:style>
  <w:style w:type="character" w:customStyle="1" w:styleId="cat-FIOgrp-17rplc-39">
    <w:name w:val="cat-FIO grp-17 rplc-39"/>
    <w:basedOn w:val="DefaultParagraphFont"/>
  </w:style>
  <w:style w:type="character" w:customStyle="1" w:styleId="cat-FIOgrp-18rplc-40">
    <w:name w:val="cat-FIO grp-18 rplc-40"/>
    <w:basedOn w:val="DefaultParagraphFont"/>
  </w:style>
  <w:style w:type="character" w:customStyle="1" w:styleId="cat-UserDefinedgrp-30rplc-42">
    <w:name w:val="cat-UserDefined grp-30 rplc-42"/>
    <w:basedOn w:val="DefaultParagraphFont"/>
  </w:style>
  <w:style w:type="character" w:customStyle="1" w:styleId="cat-FIOgrp-17rplc-44">
    <w:name w:val="cat-FIO grp-17 rplc-44"/>
    <w:basedOn w:val="DefaultParagraphFont"/>
  </w:style>
  <w:style w:type="character" w:customStyle="1" w:styleId="cat-FIOgrp-17rplc-45">
    <w:name w:val="cat-FIO grp-17 rplc-45"/>
    <w:basedOn w:val="DefaultParagraphFont"/>
  </w:style>
  <w:style w:type="character" w:customStyle="1" w:styleId="cat-FIOgrp-17rplc-46">
    <w:name w:val="cat-FIO grp-17 rplc-46"/>
    <w:basedOn w:val="DefaultParagraphFont"/>
  </w:style>
  <w:style w:type="character" w:customStyle="1" w:styleId="cat-FIOgrp-17rplc-47">
    <w:name w:val="cat-FIO grp-17 rplc-47"/>
    <w:basedOn w:val="DefaultParagraphFont"/>
  </w:style>
  <w:style w:type="character" w:customStyle="1" w:styleId="cat-FIOgrp-17rplc-48">
    <w:name w:val="cat-FIO grp-17 rplc-48"/>
    <w:basedOn w:val="DefaultParagraphFont"/>
  </w:style>
  <w:style w:type="character" w:customStyle="1" w:styleId="cat-UserDefinedgrp-30rplc-49">
    <w:name w:val="cat-UserDefined grp-30 rplc-49"/>
    <w:basedOn w:val="DefaultParagraphFont"/>
  </w:style>
  <w:style w:type="character" w:customStyle="1" w:styleId="cat-UserDefinedgrp-27rplc-50">
    <w:name w:val="cat-UserDefined grp-27 rplc-50"/>
    <w:basedOn w:val="DefaultParagraphFont"/>
  </w:style>
  <w:style w:type="character" w:customStyle="1" w:styleId="cat-OrganizationNamegrp-22rplc-51">
    <w:name w:val="cat-OrganizationName grp-22 rplc-51"/>
    <w:basedOn w:val="DefaultParagraphFont"/>
  </w:style>
  <w:style w:type="character" w:customStyle="1" w:styleId="cat-Addressgrp-2rplc-52">
    <w:name w:val="cat-Address grp-2 rplc-52"/>
    <w:basedOn w:val="DefaultParagraphFont"/>
  </w:style>
  <w:style w:type="character" w:customStyle="1" w:styleId="cat-FIOgrp-15rplc-53">
    <w:name w:val="cat-FIO grp-15 rplc-53"/>
    <w:basedOn w:val="DefaultParagraphFont"/>
  </w:style>
  <w:style w:type="character" w:customStyle="1" w:styleId="cat-FIOgrp-19rplc-65">
    <w:name w:val="cat-FIO grp-19 rplc-6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