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2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ч.13 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реквизиты юрлица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2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выданное отделением надзорной деятельности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УНД и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UserDefinedgrp-3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влечет наложение административного штрафа на граждан в размере от двух тысяч до трех тысяч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OrganizationNamegrp-2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8/1/7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устранению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>
        <w:rPr>
          <w:rFonts w:ascii="Times New Roman" w:eastAsia="Times New Roman" w:hAnsi="Times New Roman" w:cs="Times New Roman"/>
          <w:sz w:val="28"/>
          <w:szCs w:val="28"/>
        </w:rPr>
        <w:t>нию угрозы возникновения пожара.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11.03.2019 и 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проведена новая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устранено не в полном объеме.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административного протокола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устранен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вынесенные в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обработать деревянные конструкций планшета сцены и драпировки в актовом зале огнезащитными средствами (п. 21 ППРРФ, п. 108 ППРРФ утвержденных Постановлением Правительства Российской Федерации от 25.04.2012 года № 390; ст.4, ст.6, п.п.5, п.п.6 ст.52, п.1 ст.58 Федерального закона от 22.07.2008 № 123-ФЗ) (Срок устранения нарушения согласно предписания - 15.01.2019 г);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высоту горизонтальных участков путей эвакуации в коридоре привести в соответствие с нормой (фактическая ширина прохода 1,85 метра</w:t>
      </w:r>
      <w:r>
        <w:rPr>
          <w:rFonts w:ascii="Times New Roman" w:eastAsia="Times New Roman" w:hAnsi="Times New Roman" w:cs="Times New Roman"/>
          <w:sz w:val="28"/>
          <w:szCs w:val="28"/>
        </w:rPr>
        <w:t>)(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ст.4, ст.6, ст.62, ст.89, ст. 151 Федерального закона от 22.07.2008 г. №123-Ф3 «Технический регламент о требованиях пожарной безопасности»; п.4.3.4 СП 1.13130.2.009) (Срок устранения нарушения согласно предписания - 15.01.2019 г);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установить противопожарные двери в помещение столовой (п. 4.2. п.6.2.10.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Свода правил СП 4.13130.2013, ст.4,ст. 6, ст.151 Федерального закона РФ от 22.07.08г. №123-Ф3)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- 15.01.2019 г);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помещение подвала оборудовать автоматической пожарной сигнализацией (имеется пожарная нагрузка)( ст.4, ст.6, ст. 54, ст.83, ст.91, ст. 151 Федерального закона РФ от 22.07.08г. №123-Ф3; </w:t>
      </w:r>
      <w:r>
        <w:rPr>
          <w:rFonts w:ascii="Times New Roman" w:eastAsia="Times New Roman" w:hAnsi="Times New Roman" w:cs="Times New Roman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, п.9 табл. А1 СП 5.13130.2009) (Срок устранения нарушения согласно предписания - 15.01.2019 г);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оборудовать предусмотренной проектной документацией и требованиями нормативных документов двери в коридорах и лестничных маршах в здании с устройством для </w:t>
      </w:r>
      <w:r>
        <w:rPr>
          <w:rFonts w:ascii="Times New Roman" w:eastAsia="Times New Roman" w:hAnsi="Times New Roman" w:cs="Times New Roman"/>
          <w:sz w:val="28"/>
          <w:szCs w:val="28"/>
        </w:rPr>
        <w:t>самозакрывания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(доводчиков)</w:t>
      </w:r>
      <w:r>
        <w:rPr>
          <w:rFonts w:ascii="Times New Roman" w:eastAsia="Times New Roman" w:hAnsi="Times New Roman" w:cs="Times New Roman"/>
          <w:sz w:val="28"/>
          <w:szCs w:val="28"/>
        </w:rPr>
        <w:t>.(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23 п. п. Д, п. 33 Правил противопожарного режима в Российской Федерации, утвержденных постановлением Правительства РФ от 25 апреля 2012 г. N390; ст.4, ст.6.,ст.53, ст89., ст.151 Закона №123; п.4.2.7, СП 1.13130.2009.) (Срок устранения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- 15.01.2019 г);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акта проверки органом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OrganizationNamegrp-27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OrganizationNamegrp-27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ч.13 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7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ч.13 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OrganizationNamegrp-27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признает раскаяние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OrganizationNamegrp-27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им административного правонарушения, имущественное и финансовое положение юридического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28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ч.13 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17711607</w:t>
      </w:r>
      <w:r>
        <w:rPr>
          <w:rFonts w:ascii="Times New Roman" w:eastAsia="Times New Roman" w:hAnsi="Times New Roman" w:cs="Times New Roman"/>
          <w:sz w:val="28"/>
          <w:szCs w:val="28"/>
        </w:rPr>
        <w:t>000016000140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ГУ МЧС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Fonts w:ascii="Times New Roman" w:eastAsia="Times New Roman" w:hAnsi="Times New Roman" w:cs="Times New Roman"/>
          <w:sz w:val="28"/>
          <w:szCs w:val="28"/>
        </w:rPr>
        <w:t>7702835821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201001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, УИН 17700500019000352745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22rplc-6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0rplc-3">
    <w:name w:val="cat-FIO grp-20 rplc-3"/>
    <w:basedOn w:val="DefaultParagraphFont"/>
  </w:style>
  <w:style w:type="character" w:customStyle="1" w:styleId="cat-OrganizationNamegrp-27rplc-5">
    <w:name w:val="cat-OrganizationName grp-2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36rplc-7">
    <w:name w:val="cat-UserDefined grp-36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OrganizationNamegrp-28rplc-13">
    <w:name w:val="cat-OrganizationName grp-28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OrganizationNamegrp-29rplc-26">
    <w:name w:val="cat-OrganizationName grp-29 rplc-26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OrganizationNamegrp-27rplc-44">
    <w:name w:val="cat-OrganizationName grp-27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OrganizationNamegrp-27rplc-46">
    <w:name w:val="cat-OrganizationName grp-27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OrganizationNamegrp-27rplc-48">
    <w:name w:val="cat-OrganizationName grp-27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OrganizationNamegrp-27rplc-50">
    <w:name w:val="cat-OrganizationName grp-27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OrganizationNamegrp-27rplc-52">
    <w:name w:val="cat-OrganizationName grp-27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OrganizationNamegrp-28rplc-54">
    <w:name w:val="cat-OrganizationName grp-28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FIOgrp-22rplc-67">
    <w:name w:val="cat-FIO grp-2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