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2rplc-7"/>
          <w:rFonts w:ascii="Times New Roman" w:eastAsia="Times New Roman" w:hAnsi="Times New Roman" w:cs="Times New Roman"/>
          <w:b/>
          <w:bCs/>
        </w:rPr>
        <w:t>Хажиева Х.И.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 xml:space="preserve">данные о личности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 xml:space="preserve"> Х.И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>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подтвердил факт опьянения, от подробных объяснений отказался.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</w:t>
      </w:r>
      <w:r>
        <w:rPr>
          <w:rFonts w:ascii="Times New Roman" w:eastAsia="Times New Roman" w:hAnsi="Times New Roman" w:cs="Times New Roman"/>
        </w:rPr>
        <w:t xml:space="preserve">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Хажиев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2rplc-33"/>
          <w:rFonts w:ascii="Times New Roman" w:eastAsia="Times New Roman" w:hAnsi="Times New Roman" w:cs="Times New Roman"/>
          <w:b/>
          <w:bCs/>
        </w:rPr>
        <w:t>Хажиева Х.И.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0rplc-37"/>
          <w:rFonts w:ascii="Times New Roman" w:eastAsia="Times New Roman" w:hAnsi="Times New Roman" w:cs="Times New Roman"/>
        </w:rPr>
        <w:t xml:space="preserve">реквизиты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