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Жахонгира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Шарифджан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Абдуллаев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автостанции </w:t>
      </w:r>
      <w:r>
        <w:rPr>
          <w:rStyle w:val="cat-UserDefinedgrp-40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кулаком </w:t>
      </w:r>
      <w:r>
        <w:rPr>
          <w:rFonts w:ascii="Times New Roman" w:eastAsia="Times New Roman" w:hAnsi="Times New Roman" w:cs="Times New Roman"/>
        </w:rPr>
        <w:t>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Абдуллаев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также пояснил, что в целом конфликт произошел по его вине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 xml:space="preserve">Абдуллаев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Абдуллаев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</w:t>
      </w:r>
      <w:r>
        <w:rPr>
          <w:rFonts w:ascii="Times New Roman" w:eastAsia="Times New Roman" w:hAnsi="Times New Roman" w:cs="Times New Roman"/>
        </w:rPr>
        <w:t xml:space="preserve">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Куличкова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Ильиной А.О. от 28.03.2022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уличкова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привлекаемого лица от 05.04.2022.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Жахонгира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Шарифджан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5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