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№5-55-</w:t>
      </w:r>
      <w:r>
        <w:rPr>
          <w:rFonts w:ascii="Times New Roman" w:eastAsia="Times New Roman" w:hAnsi="Times New Roman" w:cs="Times New Roman"/>
          <w:sz w:val="27"/>
          <w:szCs w:val="27"/>
        </w:rPr>
        <w:t>176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91MS0055-01-2019-000507-09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.К</w:t>
      </w:r>
      <w:r>
        <w:rPr>
          <w:rFonts w:ascii="Times New Roman" w:eastAsia="Times New Roman" w:hAnsi="Times New Roman" w:cs="Times New Roman"/>
          <w:sz w:val="27"/>
          <w:szCs w:val="27"/>
        </w:rPr>
        <w:t>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№55 Красногвардейского судебного района Республики Крым мировой судья судебного участка № 54 Красногвардейского судебного района Республики Крым </w:t>
      </w:r>
      <w:r>
        <w:rPr>
          <w:rStyle w:val="cat-FIOgrp-15rplc-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судебном заседании дело об административном правонарушении, предусмотренном ч.1 ст.15.6 КоАП РФ,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Style w:val="cat-UserDefinedgrp-29rplc-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8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0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 </w:t>
      </w:r>
      <w:r>
        <w:rPr>
          <w:rStyle w:val="cat-UserDefinedgrp-30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юридический адрес организации: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1rplc-1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FIOgrp-17rplc-1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председателем </w:t>
      </w:r>
      <w:r>
        <w:rPr>
          <w:rFonts w:ascii="Times New Roman" w:eastAsia="Times New Roman" w:hAnsi="Times New Roman" w:cs="Times New Roman"/>
          <w:sz w:val="27"/>
          <w:szCs w:val="27"/>
        </w:rPr>
        <w:t>Марьяновского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сельского совета Красногвардейского района Республики Крым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представил в установленный законодательством о налогах и сборах срок в налоговый орган </w:t>
      </w:r>
      <w:r>
        <w:rPr>
          <w:rFonts w:ascii="Times New Roman" w:eastAsia="Times New Roman" w:hAnsi="Times New Roman" w:cs="Times New Roman"/>
          <w:sz w:val="27"/>
          <w:szCs w:val="27"/>
        </w:rPr>
        <w:t>годовую (финансовую) отчетность за 2018 год.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7rplc-1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не отрицал, пояснил, что отчет предоставлен с пропуском срока.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Отчетным периодом для годовой бухгалтерской (финансовой) отчетности (отчетным годом), согласно ст. 15 Федерального Закона «О бухгалтерском учете» от 06.12.2011 г. № 402-ФЗ, является календарный год – с 1 января по 31 декабря включительно, за исключением случаев создания, реорганизации и ликвидации юридического лица.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п.1 ст. 23 Налогового кодекса Российской Федерации налогоплательщики обязаны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"consultantplus://offline/ref=B7CC0AEB7EE496DF3FB3BEBC9D05247FF4E583C985EA35F68A6AE85BE85C2F62615CC50FA4CF58E3BD2385E9275EC764CBB1D23C39967567a4W4I"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  <w:u w:val="single" w:color="0000EE"/>
        </w:rPr>
        <w:t>законом</w:t>
      </w:r>
      <w:r>
        <w:rPr>
          <w:rFonts w:ascii="Times New Roman" w:eastAsia="Times New Roman" w:hAnsi="Times New Roman" w:cs="Times New Roman"/>
          <w:color w:val="0000EE"/>
          <w:sz w:val="27"/>
          <w:szCs w:val="27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6 декабря 2011 года N 402-ФЗ "О бухгалтерском учете" не обязана вести бухгалтерский учет или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религиозной организацией, у которой за отчетные (налоговые) периоды календарного года не возникало обязанн</w:t>
      </w:r>
      <w:r>
        <w:rPr>
          <w:rFonts w:ascii="Times New Roman" w:eastAsia="Times New Roman" w:hAnsi="Times New Roman" w:cs="Times New Roman"/>
          <w:sz w:val="27"/>
          <w:szCs w:val="27"/>
        </w:rPr>
        <w:t>ости по уплате налогов и сборов.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п.3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289 Налогового кодекса Российской Федерации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"consultantplus://offline/ref=82A1BEEA09E589A65F87AF65F0C3CB7953DCDDD825CC0CF23AFDC0718F40325BB1D10BFFD05467FF124287D2A93BF76B5B45474F2364C371dF6CI"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  <w:u w:val="single" w:color="0000EE"/>
        </w:rPr>
        <w:t>отчетного периода</w:t>
      </w:r>
      <w:r>
        <w:rPr>
          <w:rFonts w:ascii="Times New Roman" w:eastAsia="Times New Roman" w:hAnsi="Times New Roman" w:cs="Times New Roman"/>
          <w:color w:val="0000EE"/>
          <w:sz w:val="27"/>
          <w:szCs w:val="27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Налогоплательщики, исчисляющие суммы ежемесячных авансовых платежей по фактически полученной прибыли, представляют налоговые декларации в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"consultantplus://offline/ref=82A1BEEA09E589A65F87AF65F0C3CB7953DCDDD825CC0CF23AFDC0718F40325BB1D10BFFD05467F1174287D2A93BF76B5B45474F2364C371dF6CI"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  <w:u w:val="single" w:color="0000EE"/>
        </w:rPr>
        <w:t>сроки</w:t>
      </w:r>
      <w:r>
        <w:rPr>
          <w:rFonts w:ascii="Times New Roman" w:eastAsia="Times New Roman" w:hAnsi="Times New Roman" w:cs="Times New Roman"/>
          <w:color w:val="0000EE"/>
          <w:sz w:val="27"/>
          <w:szCs w:val="27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>, установленные для уплаты авансовых платежей.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представления годовой бухгалтерской (финансовой) отчетности за 2018 год – не позднее 31.03.2019 года.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п.7 ст. 6.1 НК РФ в случаях, </w:t>
      </w:r>
      <w:r>
        <w:rPr>
          <w:rFonts w:ascii="Times New Roman" w:eastAsia="Times New Roman" w:hAnsi="Times New Roman" w:cs="Times New Roman"/>
          <w:sz w:val="27"/>
          <w:szCs w:val="27"/>
        </w:rPr>
        <w:t>когда последний день срока принятия приходится на день</w:t>
      </w:r>
      <w:r>
        <w:rPr>
          <w:rFonts w:ascii="Times New Roman" w:eastAsia="Times New Roman" w:hAnsi="Times New Roman" w:cs="Times New Roman"/>
          <w:sz w:val="27"/>
          <w:szCs w:val="27"/>
        </w:rPr>
        <w:t>, признаваемый в соответствии с законодательством РФ выходным и нерабочим праздничным днем, днем окончания сро</w:t>
      </w:r>
      <w:r>
        <w:rPr>
          <w:rFonts w:ascii="Times New Roman" w:eastAsia="Times New Roman" w:hAnsi="Times New Roman" w:cs="Times New Roman"/>
          <w:sz w:val="27"/>
          <w:szCs w:val="27"/>
        </w:rPr>
        <w:t>ка считается ближайший следующий за ним рабочий день, т. 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 предоставления годовой бухгалтерской (финансовой отчетности </w:t>
      </w:r>
      <w:r>
        <w:rPr>
          <w:rFonts w:ascii="Times New Roman" w:eastAsia="Times New Roman" w:hAnsi="Times New Roman" w:cs="Times New Roman"/>
          <w:sz w:val="27"/>
          <w:szCs w:val="27"/>
        </w:rPr>
        <w:t>за 2018 год – не позднее 01.04.2019 года.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Годовую бухгалтерскую (финансовую)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отчетность – Баланс главного распорядителя, распорядителя, получателя бюджетных средств, главного администратора,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администратора источников финансирования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дефицита бюджета, главного администратора,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инистратора доходов бюджета (ф.</w:t>
      </w:r>
      <w:r>
        <w:rPr>
          <w:rFonts w:ascii="Times New Roman" w:eastAsia="Times New Roman" w:hAnsi="Times New Roman" w:cs="Times New Roman"/>
          <w:sz w:val="27"/>
          <w:szCs w:val="27"/>
        </w:rPr>
        <w:t>0503130, приказ №191н) налогоплательщик фактически представил в электронном виде посредством ТКС через провайдера 26.04.2019 года.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  <w:u w:val="single" w:color="0000EE"/>
        </w:rPr>
        <w:t>ст.</w:t>
      </w:r>
      <w:r>
        <w:rPr>
          <w:rFonts w:ascii="Times New Roman" w:eastAsia="Times New Roman" w:hAnsi="Times New Roman" w:cs="Times New Roman"/>
          <w:color w:val="0000EE"/>
          <w:sz w:val="27"/>
          <w:szCs w:val="27"/>
          <w:u w:val="single" w:color="0000EE"/>
        </w:rPr>
        <w:t> </w:t>
      </w:r>
      <w:r>
        <w:rPr>
          <w:rFonts w:ascii="Times New Roman" w:eastAsia="Times New Roman" w:hAnsi="Times New Roman" w:cs="Times New Roman"/>
          <w:color w:val="0000EE"/>
          <w:sz w:val="27"/>
          <w:szCs w:val="27"/>
          <w:u w:val="single" w:color="0000EE"/>
        </w:rPr>
        <w:t>2.4</w:t>
      </w:r>
      <w:r>
        <w:rPr>
          <w:rFonts w:ascii="Times New Roman" w:eastAsia="Times New Roman" w:hAnsi="Times New Roman" w:cs="Times New Roman"/>
          <w:color w:val="0000EE"/>
          <w:sz w:val="27"/>
          <w:szCs w:val="27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  <w:u w:val="single" w:color="0000EE"/>
        </w:rPr>
        <w:t>ст.</w:t>
      </w:r>
      <w:r>
        <w:rPr>
          <w:rFonts w:ascii="Times New Roman" w:eastAsia="Times New Roman" w:hAnsi="Times New Roman" w:cs="Times New Roman"/>
          <w:color w:val="0000EE"/>
          <w:sz w:val="27"/>
          <w:szCs w:val="27"/>
          <w:u w:val="single" w:color="0000EE"/>
        </w:rPr>
        <w:t> </w:t>
      </w:r>
      <w:r>
        <w:rPr>
          <w:rFonts w:ascii="Times New Roman" w:eastAsia="Times New Roman" w:hAnsi="Times New Roman" w:cs="Times New Roman"/>
          <w:color w:val="0000EE"/>
          <w:sz w:val="27"/>
          <w:szCs w:val="27"/>
          <w:u w:val="single" w:color="0000EE"/>
        </w:rPr>
        <w:t>2.4</w:t>
      </w:r>
      <w:r>
        <w:rPr>
          <w:rFonts w:ascii="Times New Roman" w:eastAsia="Times New Roman" w:hAnsi="Times New Roman" w:cs="Times New Roman"/>
          <w:color w:val="0000EE"/>
          <w:sz w:val="27"/>
          <w:szCs w:val="27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>
        <w:rPr>
          <w:rStyle w:val="cat-FIOgrp-17rplc-3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  <w:u w:val="single" w:color="0000EE"/>
        </w:rPr>
        <w:t>ч.</w:t>
      </w:r>
      <w:r>
        <w:rPr>
          <w:rFonts w:ascii="Times New Roman" w:eastAsia="Times New Roman" w:hAnsi="Times New Roman" w:cs="Times New Roman"/>
          <w:color w:val="0000EE"/>
          <w:sz w:val="27"/>
          <w:szCs w:val="27"/>
          <w:u w:val="single" w:color="0000EE"/>
        </w:rPr>
        <w:t> </w:t>
      </w:r>
      <w:r>
        <w:rPr>
          <w:rFonts w:ascii="Times New Roman" w:eastAsia="Times New Roman" w:hAnsi="Times New Roman" w:cs="Times New Roman"/>
          <w:color w:val="0000EE"/>
          <w:sz w:val="27"/>
          <w:szCs w:val="27"/>
          <w:u w:val="single" w:color="0000EE"/>
        </w:rPr>
        <w:t>1 ст.</w:t>
      </w:r>
      <w:r>
        <w:rPr>
          <w:rFonts w:ascii="Times New Roman" w:eastAsia="Times New Roman" w:hAnsi="Times New Roman" w:cs="Times New Roman"/>
          <w:color w:val="0000EE"/>
          <w:sz w:val="27"/>
          <w:szCs w:val="27"/>
          <w:u w:val="single" w:color="0000EE"/>
        </w:rPr>
        <w:t> </w:t>
      </w:r>
      <w:r>
        <w:rPr>
          <w:rFonts w:ascii="Times New Roman" w:eastAsia="Times New Roman" w:hAnsi="Times New Roman" w:cs="Times New Roman"/>
          <w:color w:val="0000EE"/>
          <w:sz w:val="27"/>
          <w:szCs w:val="27"/>
          <w:u w:val="single" w:color="0000EE"/>
        </w:rPr>
        <w:t>15.</w:t>
      </w:r>
      <w:r>
        <w:rPr>
          <w:rFonts w:ascii="Times New Roman" w:eastAsia="Times New Roman" w:hAnsi="Times New Roman" w:cs="Times New Roman"/>
          <w:color w:val="0000EE"/>
          <w:sz w:val="27"/>
          <w:szCs w:val="27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РФ, что подтверждается сведениями из Единого государственного реестра юридических лиц.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вина </w:t>
      </w:r>
      <w:r>
        <w:rPr>
          <w:rStyle w:val="cat-FIOgrp-17rplc-3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  <w:u w:val="single" w:color="0000EE"/>
        </w:rPr>
        <w:t>ч.</w:t>
      </w:r>
      <w:r>
        <w:rPr>
          <w:rFonts w:ascii="Times New Roman" w:eastAsia="Times New Roman" w:hAnsi="Times New Roman" w:cs="Times New Roman"/>
          <w:color w:val="0000EE"/>
          <w:sz w:val="27"/>
          <w:szCs w:val="27"/>
          <w:u w:val="single" w:color="0000EE"/>
        </w:rPr>
        <w:t> </w:t>
      </w:r>
      <w:r>
        <w:rPr>
          <w:rFonts w:ascii="Times New Roman" w:eastAsia="Times New Roman" w:hAnsi="Times New Roman" w:cs="Times New Roman"/>
          <w:color w:val="0000EE"/>
          <w:sz w:val="27"/>
          <w:szCs w:val="27"/>
          <w:u w:val="single" w:color="0000EE"/>
        </w:rPr>
        <w:t>1 ст.</w:t>
      </w:r>
      <w:r>
        <w:rPr>
          <w:rFonts w:ascii="Times New Roman" w:eastAsia="Times New Roman" w:hAnsi="Times New Roman" w:cs="Times New Roman"/>
          <w:color w:val="0000EE"/>
          <w:sz w:val="27"/>
          <w:szCs w:val="27"/>
          <w:u w:val="single" w:color="0000EE"/>
        </w:rPr>
        <w:t> </w:t>
      </w:r>
      <w:r>
        <w:rPr>
          <w:rFonts w:ascii="Times New Roman" w:eastAsia="Times New Roman" w:hAnsi="Times New Roman" w:cs="Times New Roman"/>
          <w:color w:val="0000EE"/>
          <w:sz w:val="27"/>
          <w:szCs w:val="27"/>
          <w:u w:val="single" w:color="0000EE"/>
        </w:rPr>
        <w:t>15.</w:t>
      </w:r>
      <w:r>
        <w:rPr>
          <w:rFonts w:ascii="Times New Roman" w:eastAsia="Times New Roman" w:hAnsi="Times New Roman" w:cs="Times New Roman"/>
          <w:color w:val="0000EE"/>
          <w:sz w:val="27"/>
          <w:szCs w:val="27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распечаткой из АИС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Налог</w:t>
      </w:r>
      <w:r>
        <w:rPr>
          <w:rFonts w:ascii="Times New Roman" w:eastAsia="Times New Roman" w:hAnsi="Times New Roman" w:cs="Times New Roman"/>
          <w:sz w:val="27"/>
          <w:szCs w:val="27"/>
        </w:rPr>
        <w:t>-3»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подтверждением даты отправки, выпиской из единого государственного реестра юридических лиц.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  <w:u w:val="single" w:color="0000EE"/>
        </w:rPr>
        <w:t>ст. 28.2</w:t>
      </w:r>
      <w:r>
        <w:rPr>
          <w:rFonts w:ascii="Times New Roman" w:eastAsia="Times New Roman" w:hAnsi="Times New Roman" w:cs="Times New Roman"/>
          <w:color w:val="0000EE"/>
          <w:sz w:val="27"/>
          <w:szCs w:val="27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7rplc-3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  <w:u w:val="single" w:color="0000EE"/>
        </w:rPr>
        <w:t>ч.1 ст.15.</w:t>
      </w:r>
      <w:r>
        <w:rPr>
          <w:rFonts w:ascii="Times New Roman" w:eastAsia="Times New Roman" w:hAnsi="Times New Roman" w:cs="Times New Roman"/>
          <w:color w:val="0000EE"/>
          <w:sz w:val="27"/>
          <w:szCs w:val="27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>6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Style w:val="cat-FIOgrp-17rplc-3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Style w:val="cat-FIOgrp-17rplc-3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правильно квалифицированы по ч.1 ст.15.6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</w:t>
      </w:r>
      <w:r>
        <w:rPr>
          <w:rStyle w:val="cat-FIOgrp-17rplc-3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</w:t>
      </w:r>
      <w:r>
        <w:rPr>
          <w:rFonts w:ascii="Times New Roman" w:eastAsia="Times New Roman" w:hAnsi="Times New Roman" w:cs="Times New Roman"/>
          <w:sz w:val="27"/>
          <w:szCs w:val="27"/>
        </w:rPr>
        <w:t>о ст. 4.2 КоАП РФ, мировой судьей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Style w:val="cat-FIOgrp-17rplc-3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РФ, мировым судьей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и руководствуясь ст. ст. 15.6 ч. 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29.10 КоАП РФ,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Style w:val="cat-UserDefinedgrp-32rplc-3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ст.15.6 КоАП РФ, и назначить 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300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(триста) </w:t>
      </w:r>
      <w:r>
        <w:rPr>
          <w:rFonts w:ascii="Times New Roman" w:eastAsia="Times New Roman" w:hAnsi="Times New Roman" w:cs="Times New Roman"/>
          <w:sz w:val="27"/>
          <w:szCs w:val="27"/>
        </w:rPr>
        <w:t>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  <w:u w:val="single" w:color="0000EE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7"/>
          <w:szCs w:val="27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перечислению на счет получателя платежа 40101810335100010001, КБ</w:t>
      </w:r>
      <w:r>
        <w:rPr>
          <w:rFonts w:ascii="Times New Roman" w:eastAsia="Times New Roman" w:hAnsi="Times New Roman" w:cs="Times New Roman"/>
          <w:sz w:val="27"/>
          <w:szCs w:val="27"/>
        </w:rPr>
        <w:t>К 18211603030016000140, ОКТМО 35620401, получатель УФК по Республике Крым (</w:t>
      </w:r>
      <w:r>
        <w:rPr>
          <w:rFonts w:ascii="Times New Roman" w:eastAsia="Times New Roman" w:hAnsi="Times New Roman" w:cs="Times New Roman"/>
          <w:sz w:val="27"/>
          <w:szCs w:val="27"/>
        </w:rPr>
        <w:t>Межрайонная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ИФНС России №1) ИНН 9105000029, КПП 910501001. Наименование банка: Отделение по Республике Крым ЦБ РФ открытый УФК по РК,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БИК 043510001, </w:t>
      </w:r>
      <w:r>
        <w:rPr>
          <w:rFonts w:ascii="Times New Roman" w:eastAsia="Times New Roman" w:hAnsi="Times New Roman" w:cs="Times New Roman"/>
          <w:sz w:val="27"/>
          <w:szCs w:val="27"/>
        </w:rPr>
        <w:t>УИН (код в поле 22) «0».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</w:t>
      </w:r>
      <w:r>
        <w:rPr>
          <w:rFonts w:ascii="Times New Roman" w:eastAsia="Times New Roman" w:hAnsi="Times New Roman" w:cs="Times New Roman"/>
          <w:sz w:val="27"/>
          <w:szCs w:val="27"/>
        </w:rPr>
        <w:t>.К</w:t>
      </w:r>
      <w:r>
        <w:rPr>
          <w:rFonts w:ascii="Times New Roman" w:eastAsia="Times New Roman" w:hAnsi="Times New Roman" w:cs="Times New Roman"/>
          <w:sz w:val="27"/>
          <w:szCs w:val="27"/>
        </w:rPr>
        <w:t>расногвардейское, ул.Титова, д.60.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</w:t>
      </w:r>
      <w:r>
        <w:rPr>
          <w:rStyle w:val="cat-FIOgrp-18rplc-51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5rplc-6">
    <w:name w:val="cat-FIO grp-15 rplc-6"/>
    <w:basedOn w:val="DefaultParagraphFont"/>
  </w:style>
  <w:style w:type="character" w:customStyle="1" w:styleId="cat-UserDefinedgrp-29rplc-7">
    <w:name w:val="cat-UserDefined grp-29 rplc-7"/>
    <w:basedOn w:val="DefaultParagraphFont"/>
  </w:style>
  <w:style w:type="character" w:customStyle="1" w:styleId="cat-ExternalSystemDefinedgrp-28rplc-10">
    <w:name w:val="cat-ExternalSystemDefined grp-28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UserDefinedgrp-32rplc-37">
    <w:name w:val="cat-UserDefined grp-32 rplc-37"/>
    <w:basedOn w:val="DefaultParagraphFont"/>
  </w:style>
  <w:style w:type="character" w:customStyle="1" w:styleId="cat-FIOgrp-18rplc-51">
    <w:name w:val="cat-FIO grp-18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