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6rplc-7"/>
          <w:rFonts w:ascii="Times New Roman" w:eastAsia="Times New Roman" w:hAnsi="Times New Roman" w:cs="Times New Roman"/>
          <w:sz w:val="28"/>
          <w:szCs w:val="28"/>
        </w:rPr>
        <w:t>Милько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КоАП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июня 2021 года в 15 часов 50 минут, водитель Милько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Style w:val="cat-UserDefinedgrp-38rplc-17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39rplc-1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вблизи </w:t>
      </w:r>
      <w:r>
        <w:rPr>
          <w:rStyle w:val="cat-UserDefinedgrp-40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гос. номерами оборудованными материалами препятствующими их идентификации (на передний и задний государственные регистрационные знаки установлены сетки), то есть совершил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12.2 КоАП РФ.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Транспортное средство принадлежит </w:t>
      </w:r>
      <w:r>
        <w:rPr>
          <w:b w:val="0"/>
          <w:bCs w:val="0"/>
          <w:i w:val="0"/>
          <w:sz w:val="28"/>
          <w:szCs w:val="28"/>
        </w:rPr>
        <w:t>Милько А.П.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Милько А.П.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изложенные в протоколе не отрицал, суду пояснил, что на Украине разрешено ездить с сетками на государственный регистрационных номерах, при этом предоставил суду копии постановлений о привлечении его к ответственности за привлечении скорости путем </w:t>
      </w:r>
      <w:r>
        <w:rPr>
          <w:rFonts w:ascii="Times New Roman" w:eastAsia="Times New Roman" w:hAnsi="Times New Roman" w:cs="Times New Roman"/>
          <w:sz w:val="28"/>
          <w:szCs w:val="28"/>
        </w:rPr>
        <w:t>фотофиксации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 о возможности идентифицировать номера на его автомобиле.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Милько А.П.,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4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рассмотрении дел об административных правонарушениях, предусмотренных частью 2 статьи 12.2 КоАП РФ, необходимо учитывать, что объективную сторону состава данного административного правонарушения, в частности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действия лица по управлению транспортным средством: без государственных регистрационных знаков (в том числе без одного из них), при наличии государственных регистрационных знаков, установленных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них),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регистрационных знаков либо позволяющих их видоизменить или скрыть (в том числе только одного из них), включая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случаи,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Единый порядок дорожного движения на территории Российской Федерации установлен Правилами дорожного движения, утвержденными Постановлением Правительства Российской Федерации от 23 октября 1993 года № 1090.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 Основных положений по допуску транспортных средств к эксплуатации, на механических транспортных средствах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абзацу 5 пункта 11 Основных положений ПДД РФ,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Ж.5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50577-2018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"Национальный стандарт Российской Федерации. Знаки государственные регистрационные транспортных средств. Типы и основные размеры. Технические требования", утвержденного Постановлением Госстандарта России от 04 сентября 2018 года N 555-ст, не допускается закрывать знак органическим стеклом или другими материалами.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Милько А.П.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82АП № </w:t>
      </w:r>
      <w:r>
        <w:rPr>
          <w:rFonts w:ascii="Times New Roman" w:eastAsia="Times New Roman" w:hAnsi="Times New Roman" w:cs="Times New Roman"/>
          <w:sz w:val="28"/>
          <w:szCs w:val="28"/>
        </w:rPr>
        <w:t>10555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фото</w:t>
      </w:r>
      <w:r>
        <w:rPr>
          <w:rFonts w:ascii="Times New Roman" w:eastAsia="Times New Roman" w:hAnsi="Times New Roman" w:cs="Times New Roman"/>
          <w:sz w:val="28"/>
          <w:szCs w:val="28"/>
        </w:rPr>
        <w:t>копиями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на автомашине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Милько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передний и задний государственные регистрационные знаки установлены сетки, что лишало водителя возможности эксплуатации транспортного средства.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Милько А.П.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установленная на номерных знаках автомобиля сетка, разрешена на территории Украины, и не вызывает затруднений в идентификации государственного регистрационного знака, что также подтверждает представленные копии постановлений о привлечении Милько А.П. к административной ответственности за превышении скорости путем </w:t>
      </w:r>
      <w:r>
        <w:rPr>
          <w:rFonts w:ascii="Times New Roman" w:eastAsia="Times New Roman" w:hAnsi="Times New Roman" w:cs="Times New Roman"/>
          <w:sz w:val="28"/>
          <w:szCs w:val="28"/>
        </w:rPr>
        <w:t>фотофиксации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, не может быть принят во внимание, поскольку в силу п. 11 Основных положений по допуску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средств к эксплуатации, утвержденных Постановлением Правительства РФ запрещается эксплуатация транспортного средства, не соответствующего правилам эксплуатации транспортных средств. Кроме того требованиями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50577-2018 не допускается закрывать знак органическим стеклом или другими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п. Ж.5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Правовое значение имеет лишь факт управления транспортным средством, оборудованным с применением такого материала.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>Милько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невозможности привлечения последнего к административной ответственности по причине положений зафиксированных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п.3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гл.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технического регламента Таможенного союза "О безопасности колесных транспортных средств", о том, что автомобиль, вв</w:t>
      </w:r>
      <w:r>
        <w:rPr>
          <w:rFonts w:ascii="Times New Roman" w:eastAsia="Times New Roman" w:hAnsi="Times New Roman" w:cs="Times New Roman"/>
          <w:sz w:val="28"/>
          <w:szCs w:val="28"/>
        </w:rPr>
        <w:t>езен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на срок до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основаны на законе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данном случае требования Российского законодательства запрещают эксплуатацию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размещением на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 каких-либо материалов.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идентификации номерного знака на момент остановки транспортного средства сотрудником ГИБДД,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при фото-фиксации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специальными техническими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автоматическом режиме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может повлечь освобождение водителя от административной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действия лица, в отношении которого ведется производство по делу об административном правонарушении,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Милько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Милько А.П.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Милько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Милько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>
        <w:rPr>
          <w:rFonts w:ascii="Times New Roman" w:eastAsia="Times New Roman" w:hAnsi="Times New Roman" w:cs="Times New Roman"/>
          <w:sz w:val="28"/>
          <w:szCs w:val="28"/>
        </w:rPr>
        <w:t>во по делу: ранее к административной ответственности в области дорожного движения привлекался.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12.2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6rplc-46"/>
          <w:rFonts w:ascii="Times New Roman" w:eastAsia="Times New Roman" w:hAnsi="Times New Roman" w:cs="Times New Roman"/>
          <w:sz w:val="28"/>
          <w:szCs w:val="28"/>
        </w:rPr>
        <w:t>Милько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49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КоАП РФ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(пять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42rplc-51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 в течение 10 суток со дня 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36rplc-46">
    <w:name w:val="cat-UserDefined grp-36 rplc-46"/>
    <w:basedOn w:val="DefaultParagraphFont"/>
  </w:style>
  <w:style w:type="character" w:customStyle="1" w:styleId="cat-UserDefinedgrp-41rplc-49">
    <w:name w:val="cat-UserDefined grp-41 rplc-49"/>
    <w:basedOn w:val="DefaultParagraphFont"/>
  </w:style>
  <w:style w:type="character" w:customStyle="1" w:styleId="cat-UserDefinedgrp-42rplc-51">
    <w:name w:val="cat-UserDefined grp-4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0F60688F27A85326230D518BC65AD8C28A9531A2BC583EDD8A90176ED88757EDBA5D60D44E9E22853A4C500C1B23FC360B24454B387904z6cAI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