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Терлецкая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водный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Кантемиров Б.З.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Как следует из отчетов об отслеживании отправлений, направленные судебные повестки высланы обратно отправителю, так как истек срок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Кантемирова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Б.З.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пп.1 п.1 ст.333.9 НК РФ объектом налогообложения водным налогом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признается забор воды из водных объектов. 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>» осуществляет забор воды из водных объектов для собственных нужд.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333.11 Налогового Кодекса Российской Федерации налоговым периодом по водному налогу является квартал. Согласно п. 1 ст.333.15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Пунктом 2 ст.333.14 НК РФ определено, что налог подлежит уплате в срок не позднее 20-го числа месяца, следующего за истекшим налоговым периодом.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налоговой декларации по водному налогу за 4 квартал 2018 года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21.01.2019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налогоплательщиком декларация (расчет)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водному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в налоговый орган налоговых деклараций возложена на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Терлецкую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несут административную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Крымводпром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Терлецк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