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0055-01-2022-001216-64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ст.1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Гордеевой </w:t>
      </w:r>
      <w:r>
        <w:rPr>
          <w:rFonts w:ascii="Times New Roman" w:eastAsia="Times New Roman" w:hAnsi="Times New Roman" w:cs="Times New Roman"/>
          <w:sz w:val="28"/>
          <w:szCs w:val="28"/>
        </w:rPr>
        <w:t>Гульнор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Икметовны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Гордеева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16:00 находясь по адресу: </w:t>
      </w: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самовольно </w:t>
      </w:r>
      <w:r>
        <w:rPr>
          <w:rFonts w:ascii="Times New Roman" w:eastAsia="Times New Roman" w:hAnsi="Times New Roman" w:cs="Times New Roman"/>
          <w:sz w:val="28"/>
          <w:szCs w:val="28"/>
        </w:rPr>
        <w:t>перекрыла кран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находится в колодце двора,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ограничил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к водоснабжению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также проживает по указанному адресу, </w:t>
      </w:r>
      <w:r>
        <w:rPr>
          <w:rFonts w:ascii="Times New Roman" w:eastAsia="Times New Roman" w:hAnsi="Times New Roman" w:cs="Times New Roman"/>
          <w:sz w:val="28"/>
          <w:szCs w:val="28"/>
        </w:rPr>
        <w:t>не причинив существенного вреда, за что предусмотрена ответ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ственность по ст. 19.1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амоуправство, то есть самовольное, вопреки установленному федеральным законом или иным нормативным правовым актом порядку осуществление своего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действительного или предполагаемого права, не причинившее существенного вреда гражданам или юридическим 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Гордеева Г.И</w:t>
      </w:r>
      <w:r>
        <w:rPr>
          <w:rFonts w:ascii="Times New Roman" w:eastAsia="Times New Roman" w:hAnsi="Times New Roman" w:cs="Times New Roman"/>
          <w:sz w:val="28"/>
          <w:szCs w:val="28"/>
        </w:rPr>
        <w:t>.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о дате,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по адресу, указанному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корреспонденция возвратилась с отметкой «истек срок хранения».</w:t>
      </w:r>
    </w:p>
    <w:p>
      <w:pPr>
        <w:spacing w:before="0" w:after="16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Гордеев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ст.19.1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статье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19.1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юридическим 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Общим объектом рассматриваемого правонарушения является порядок управления. Родовым (видовым) объектом - установленный в нормативных правовых актах порядок реализации гражданами и должностными лицами своих субъективных прав.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самоуправство посягает на установленный в государстве порядок управления, порядок осуществления гражданами принадлежащих им прав.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Гордеева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13.04.2022 в 16:00 находясь по адресу: </w:t>
      </w:r>
      <w:r>
        <w:rPr>
          <w:rStyle w:val="cat-UserDefinedgrp-2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самовольно перекрыла кран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водоснабжения который находится в колодце двора,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ограничила доступ к водоснабжению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Солоницкой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Г.И., которая также проживает по указанному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так как дом на четыре семьи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совершила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предусмотренное ст.19.1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Гордеев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19.1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8201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032639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Гордеевой Г.И. от 13.04.2022;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Лось П.П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13.04.2022;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Солоницкой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фотоматериалом по осмотру места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Гордеев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КоАП РФ, поскольку 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самовольно </w:t>
      </w:r>
      <w:r>
        <w:rPr>
          <w:rFonts w:ascii="Times New Roman" w:eastAsia="Times New Roman" w:hAnsi="Times New Roman" w:cs="Times New Roman"/>
          <w:sz w:val="28"/>
          <w:szCs w:val="28"/>
        </w:rPr>
        <w:t>перекрыла кран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находится в колодце двора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Красногвардейский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Марьяновка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Ленина, д. 170,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ограничила доступ к водоснабжению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Солоницкой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Гордеев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Гордеев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.19</w:t>
      </w:r>
      <w:r>
        <w:rPr>
          <w:rFonts w:ascii="Times New Roman" w:eastAsia="Times New Roman" w:hAnsi="Times New Roman" w:cs="Times New Roman"/>
          <w:sz w:val="28"/>
          <w:szCs w:val="28"/>
        </w:rPr>
        <w:t>.1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Гордеев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Гордеев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как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амоуправство, то есть 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юридическим лицам, за исключением случаев,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Гордеев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>,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Гордеев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eastAsia="Times New Roman" w:hAnsi="Times New Roman" w:cs="Times New Roman"/>
          <w:sz w:val="28"/>
          <w:szCs w:val="28"/>
        </w:rPr>
        <w:t>, суд считает необходимым назначить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санкцией ст. </w:t>
      </w: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sz w:val="28"/>
          <w:szCs w:val="28"/>
        </w:rPr>
        <w:t>1 КоАП.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19.1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 –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Гордеев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Гульнор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Икметовн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47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2258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8">
    <w:name w:val="cat-UserDefined grp-25 rplc-28"/>
    <w:basedOn w:val="DefaultParagraphFont"/>
  </w:style>
  <w:style w:type="character" w:customStyle="1" w:styleId="cat-UserDefinedgrp-26rplc-47">
    <w:name w:val="cat-UserDefined grp-2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5CAD77840989460C1F19F95DF4B5895741AF5869ACADD5E3AC9B9BFDC98218C8A7E67A1DF6BE3C9DFBCD25EE1D99478785E26638A33w7VEI" TargetMode="External" /><Relationship Id="rId11" Type="http://schemas.openxmlformats.org/officeDocument/2006/relationships/header" Target="head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9ED89-024C-41E4-BDB3-ECA66C86293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