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217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</w:t>
      </w:r>
      <w:r>
        <w:rPr>
          <w:rFonts w:ascii="Times New Roman" w:eastAsia="Times New Roman" w:hAnsi="Times New Roman" w:cs="Times New Roman"/>
        </w:rPr>
        <w:t>1333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 мая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</w:t>
      </w:r>
      <w:r>
        <w:rPr>
          <w:rFonts w:ascii="Times New Roman" w:eastAsia="Times New Roman" w:hAnsi="Times New Roman" w:cs="Times New Roman"/>
        </w:rPr>
        <w:t>министративный штраф в размере 5000</w:t>
      </w:r>
      <w:r>
        <w:rPr>
          <w:rFonts w:ascii="Times New Roman" w:eastAsia="Times New Roman" w:hAnsi="Times New Roman" w:cs="Times New Roman"/>
        </w:rPr>
        <w:t xml:space="preserve">,00 руб., наложенный постановлением № </w:t>
      </w:r>
      <w:r>
        <w:rPr>
          <w:rFonts w:ascii="Times New Roman" w:eastAsia="Times New Roman" w:hAnsi="Times New Roman" w:cs="Times New Roman"/>
        </w:rPr>
        <w:t>18810391222000000262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года</w:t>
      </w:r>
      <w:r>
        <w:rPr>
          <w:rFonts w:ascii="Times New Roman" w:eastAsia="Times New Roman" w:hAnsi="Times New Roman" w:cs="Times New Roman"/>
        </w:rPr>
        <w:t>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16.04.2022.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Суду пояснил, что штраф не оплатил, так как были утеряны реквизиты, в настоящее время административный штраф им уплачен 26.05.2022,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прекратить.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привлекаемое лицо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</w:t>
      </w:r>
      <w:r>
        <w:rPr>
          <w:rFonts w:ascii="Times New Roman" w:eastAsia="Times New Roman" w:hAnsi="Times New Roman" w:cs="Times New Roman"/>
        </w:rPr>
        <w:t xml:space="preserve">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18810391222000000262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 и подвергнут административному наказанию в виде админ</w:t>
      </w:r>
      <w:r>
        <w:rPr>
          <w:rFonts w:ascii="Times New Roman" w:eastAsia="Times New Roman" w:hAnsi="Times New Roman" w:cs="Times New Roman"/>
        </w:rPr>
        <w:t>истративного штрафа в размере 5000,00 рублей</w:t>
      </w:r>
      <w:r>
        <w:rPr>
          <w:rFonts w:ascii="Times New Roman" w:eastAsia="Times New Roman" w:hAnsi="Times New Roman" w:cs="Times New Roman"/>
        </w:rPr>
        <w:t xml:space="preserve">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февраля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</w:t>
      </w:r>
      <w:r>
        <w:rPr>
          <w:rFonts w:ascii="Times New Roman" w:eastAsia="Times New Roman" w:hAnsi="Times New Roman" w:cs="Times New Roman"/>
        </w:rPr>
        <w:t>Отсрочка, рассрочка не предоставлялась.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15 апреля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82АП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154739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2022 года; копией постановления </w:t>
      </w:r>
      <w:r>
        <w:rPr>
          <w:rFonts w:ascii="Times New Roman" w:eastAsia="Times New Roman" w:hAnsi="Times New Roman" w:cs="Times New Roman"/>
        </w:rPr>
        <w:t>№ 118810391222000000262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</w:t>
      </w:r>
      <w:r>
        <w:rPr>
          <w:rFonts w:ascii="Times New Roman" w:eastAsia="Times New Roman" w:hAnsi="Times New Roman" w:cs="Times New Roman"/>
        </w:rPr>
        <w:t>стративного штрафа 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 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</w:t>
      </w:r>
      <w:r>
        <w:rPr>
          <w:rFonts w:ascii="Times New Roman" w:eastAsia="Times New Roman" w:hAnsi="Times New Roman" w:cs="Times New Roman"/>
        </w:rPr>
        <w:t>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Квитанцией 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>275</w:t>
      </w:r>
      <w:r>
        <w:rPr>
          <w:rFonts w:ascii="Times New Roman" w:eastAsia="Times New Roman" w:hAnsi="Times New Roman" w:cs="Times New Roman"/>
        </w:rPr>
        <w:t xml:space="preserve"> административный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>№ 118810391222000000262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руб. оплачен полностью.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на день рассмотрения административного дела, постановление </w:t>
      </w:r>
      <w:r>
        <w:rPr>
          <w:rFonts w:ascii="Times New Roman" w:eastAsia="Times New Roman" w:hAnsi="Times New Roman" w:cs="Times New Roman"/>
        </w:rPr>
        <w:t>№ 118810391222000000262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освобождая его 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4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ему 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42">
    <w:name w:val="cat-UserDefined grp-2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