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участии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Нины Геннадьевны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17.06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насильственные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 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телесные повреждения,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>, вину не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ней и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был конфликт, но последнюю она не трогала.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подтвердила факт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них с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произошёл конфликт и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 </w:t>
      </w:r>
      <w:r>
        <w:rPr>
          <w:rFonts w:ascii="Times New Roman" w:eastAsia="Times New Roman" w:hAnsi="Times New Roman" w:cs="Times New Roman"/>
          <w:sz w:val="28"/>
          <w:szCs w:val="28"/>
        </w:rPr>
        <w:t>побои, а именно схватила за волосы и поцарапала руку.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6.1.1.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судом доказательствами,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РК-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17009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02.08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ответственности за нанесение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телесных повреждений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; Актом СМО №2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Геннадьевн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траф подлежит перечислению на счет получателя платежа 40101810335100010001, БИК 043510001, получатель УФК по Республике Крым (ОМВД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Красногвардейскому району) КБК 18811690050056000140, ИНН 9105000100, КПП 910501001, ОКТМО 35620401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18880491190002170097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headerReference w:type="default" r:id="rId7"/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ExternalSystemDefinedgrp-26rplc-38">
    <w:name w:val="cat-ExternalSystemDefined grp-26 rplc-38"/>
    <w:basedOn w:val="DefaultParagraphFont"/>
  </w:style>
  <w:style w:type="character" w:customStyle="1" w:styleId="cat-PassportDatagrp-19rplc-39">
    <w:name w:val="cat-PassportData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