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Возрождение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Валентины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З/С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«Возрождение»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)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2018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годовой бухгалтерской отчетности за 2018 год – не позднее 01.04.2019 года,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 бухгалтерскую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23.09.2019 г.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</w:rPr>
        <w:t>лежащим образом, в судебное заседание не явились, о причинах неявки не сообщили.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 полагает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сторон.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Савченко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91051926607139000001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сведений из базы данных </w:t>
      </w:r>
      <w:r>
        <w:rPr>
          <w:rFonts w:ascii="Times New Roman" w:eastAsia="Times New Roman" w:hAnsi="Times New Roman" w:cs="Times New Roman"/>
          <w:sz w:val="28"/>
          <w:szCs w:val="28"/>
        </w:rPr>
        <w:t>АИС Налог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Савченко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Савченко В</w:t>
      </w:r>
      <w:r>
        <w:rPr>
          <w:rFonts w:ascii="Times New Roman" w:eastAsia="Times New Roman" w:hAnsi="Times New Roman" w:cs="Times New Roman"/>
          <w:sz w:val="28"/>
          <w:szCs w:val="28"/>
        </w:rPr>
        <w:t>алентину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18211603030016000140, КПП 910501001, ОКТМО 35620401 (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ЦБ РФ открытый УФК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УИН код в поле 22 «0»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4rplc-31">
    <w:name w:val="cat-PassportData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