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5-55-267/2021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91RS00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-01-2021-00</w:t>
      </w:r>
      <w:r>
        <w:rPr>
          <w:rFonts w:ascii="Times New Roman" w:eastAsia="Times New Roman" w:hAnsi="Times New Roman" w:cs="Times New Roman"/>
          <w:sz w:val="28"/>
          <w:szCs w:val="28"/>
        </w:rPr>
        <w:t>1260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0"/>
          <w:szCs w:val="20"/>
        </w:rPr>
        <w:t>пгт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Красногвардейское</w:t>
      </w:r>
      <w:r>
        <w:rPr>
          <w:rFonts w:ascii="Times New Roman" w:eastAsia="Times New Roman" w:hAnsi="Times New Roman" w:cs="Times New Roman"/>
          <w:sz w:val="20"/>
          <w:szCs w:val="20"/>
        </w:rPr>
        <w:t>, ул. Титова, д.60, тел.: (36556) 2-18-28,</w:t>
      </w:r>
    </w:p>
    <w:p>
      <w:pPr>
        <w:spacing w:before="0" w:after="0"/>
        <w:ind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помещении судебного участка №55 Красногвардейского судебного района Республики Крым материалы дела об административном правонарушении, предусмотренном ч. 1 ст.12.34 КоАП РФ, в отношении должностного лица: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«Альт-Эра»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UserDefinedgrp-59rplc-14"/>
          <w:rFonts w:ascii="Times New Roman" w:eastAsia="Times New Roman" w:hAnsi="Times New Roman" w:cs="Times New Roman"/>
          <w:sz w:val="28"/>
          <w:szCs w:val="28"/>
        </w:rPr>
        <w:t>КУРГАНОВА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60rplc-17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Курганов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Альт-Эра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являясь должностным лицом, ответственным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дорожных работ.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нарушении п.4.1.4 </w:t>
      </w:r>
      <w:r>
        <w:rPr>
          <w:rFonts w:ascii="Times New Roman" w:eastAsia="Times New Roman" w:hAnsi="Times New Roman" w:cs="Times New Roman"/>
          <w:sz w:val="28"/>
          <w:szCs w:val="28"/>
        </w:rPr>
        <w:t>ОДМ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218.6.019-2016 место производства работ не обустроено техническими средствами организации дорожными движениями, иными направляющими и ограждающими устройствами, средствами сигнализации и прочими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средствами, предусмотренными настоящими методическим документом на основании утвержденной схемы для данного вида работ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4.1.4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218.6.019-2016 "рекомендации по организации движения и ограждению мест производства дорожных работ"</w:t>
        </w:r>
      </w:hyperlink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 года в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обследования участков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6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содержании автодорог, дорожных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сооружений и технических средств организации дорожного движения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Курганов Е.М.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Курганова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письменные материалы дела об административном правонарушении, прихожу к выводу о наличии в действиях последнего состава административного правонарушения, предусмотренного ч. 1 ст. 12.34 КоАП РФ,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 статьи 12.34 КоАП РФ предусмотрена административная ответственность должностных лиц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участками угрожает безопасности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административного правонарушения, предусмотренного ст. 12.34 КоАП РФ выражается в совершении деяния, выразившегося в несоблюдении (нарушении) требований по обеспечению безопасности дорожного движения при ремонте и содержании дорог и иных дорожных сооружений, либо непринятии мер по своевременному устранению угрожающих безопасности дорожного движения помех.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Отношения,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 ноября 2007 года N 257-ФЗ).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п. п. 6, 12 ст. 3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дорожная деятельность - это деятельность по проектированию, строительству, реконструкции, капитальному ремонту, ремонту и содержанию автомобильных дорог;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Федерального закона от 8 ноября 2007 года N 257-ФЗ).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1 ст. 17 Федерального закона от 08 ноября 2007 года N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 Федерального закона от 10 декабря 1995 года N 196-ФЗ "О безопасности дорожного движения" 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абзацу третьему статьи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10 декабря 1995 г. N 196-ФЗ безопасность дорожного движения - это состояние данного процесса, отражающее степень защищенности его участников от дорожно-транспортных происшествий и их последствий.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12 Федерального закона от 10 декабря 1995 года N 196-ФЗ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При этом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widowControl w:val="0"/>
        <w:spacing w:before="0" w:after="0"/>
        <w:ind w:left="20" w:right="4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Правительства Российской Федерации от 23 октября 1993 г. №1090, должностные и иные лица ответственные за состояние дорог обязаны содержать дорог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безопасном для движения состоянии в соответствии с требованиями стандартов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правит.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 статьи 12 Федерального закона от 10 декабря 1995 года N 196-ФЗ "О безопасности дорожного движения"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пункта 6 статьи 13, части 3 статьи 15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осуществление дорожной деятельности в отношении автомобильных дорог местного значения относится к полномочиям органов местного самоуправления в области использования автомобильных дорог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дорожной деятельности, и обеспечивается данными органами.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5 части 1 статьи 16 Федерального закона от 6 октября 2003 года N 131-ФЗ "Об общих принципах организации местного самоуправления в Российской Федерации" установлено, что к вопросам местного значения городского округа относится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осуществление муниципального контроля за сохранностью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полномочиям муниципального района, в соответствии с ч.4 ст.14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06.10.2003 №131-ФЗ «Об общих принципах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Федерации», относятся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местного значения,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для городских поселений, не отнесенные к вопросам местного значения сельских поселений 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на территориях сельских поселений решаются органами местного самоуправления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районов. В этих случаях данные вопросы являются вопросами местного значения муниципальных районов.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следует, что старшим государственным инспектором дорожного надзора ОГИБДД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 года в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минут, а так же в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минут на улицах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Кирово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адовая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с.Останино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Колхозная, с. Виноградное, ул. Новая, ул. Садовая, с. Батальное, ул. Школьная, с. </w:t>
      </w:r>
      <w:r>
        <w:rPr>
          <w:rFonts w:ascii="Times New Roman" w:eastAsia="Times New Roman" w:hAnsi="Times New Roman" w:cs="Times New Roman"/>
          <w:sz w:val="28"/>
          <w:szCs w:val="28"/>
        </w:rPr>
        <w:t>Ильичево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Коммунаров,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Ленино,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Дзержинского, </w:t>
      </w:r>
      <w:r>
        <w:rPr>
          <w:rFonts w:ascii="Times New Roman" w:eastAsia="Times New Roman" w:hAnsi="Times New Roman" w:cs="Times New Roman"/>
          <w:sz w:val="28"/>
          <w:szCs w:val="28"/>
        </w:rPr>
        <w:t>ул.Энгельса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выявлены следующие недостатки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п. </w:t>
      </w:r>
      <w:r>
        <w:rPr>
          <w:rFonts w:ascii="Times New Roman" w:eastAsia="Times New Roman" w:hAnsi="Times New Roman" w:cs="Times New Roman"/>
          <w:sz w:val="28"/>
          <w:szCs w:val="28"/>
        </w:rPr>
        <w:t>4.1.4 Места производства работ обустраиваются техническими средствами организации дорожными движения, иными направляющими и ограждающими устройствами, средствами сигнализации и прочими средствами, предусмотренными настоящим методическим документом. В местах производства работ применяются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ГОСТ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52289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технические средства организации дорожного движения, 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Р 50971-2011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ГОСТ Р 51256-2011,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Р 52282-2004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Р 52290-2004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Р 52607-2006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производства работ обустраиваются техническими средствами организации дорожными движения, иными направляющими и ограждающими устройствами, средствами сигнализации и прочими средствами, предусмотренными настоящим методическим документом.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местах производства работ применяются по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52289 технические средства организации дорожного движения, соответствующие ГОСТ Р 50971-2011, ГОСТ Р 51256-2011, ГОСТ Р 52282-2004, ГОСТ Р 52290-2004, ГОСТ Р 52607-2006.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технических средств и ограждающих устройств в местах производства работ выбираются в соответствии с категорией автомобильной дороги, продолжительностью и видом работ, опасностью места производства работ (наличие неблагоприятных дорожных условий, разрытий, траншей, котлованов) в зависимости от способа пропуска транспортных средств (по проезжей части, обочинам или по специально устраиваемым объездам) в рабочей зоне.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Допускается по согласованию с подразделениями Госавтоинспекции на федеральном уровне в экспериментальных целях в местах производства дорожных работ применять технические средства организации движения, не предусмотренные действующими стандартами (пункт 4.6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52289-2004) при наличии согласованных и утвержденных в установленном порядке стандартов организаций (технических условий) фирм-изготовителей соответствующей продукции.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нарушения зафиксированы в акт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содержании дорог, дорожных сооружений и технических средств организации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.20201г. и подтверждаются записями фото-киносъёмки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6- 27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директора ООО «Альт-Эра»,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Кургановым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>п.4.1.4 ОДМ 218.6.019-2016 Места производства работ обустраиваются техническими средствами организации дорожными движения, иными направляющими и ограждающими устройствами, средствами сигнализации и прочими средствами, предусмотренными настоящим методическим документом.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местах производства работ применяются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ГОСТ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52289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технические средства организации дорожного движения, 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Р 50971-2011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ГОСТ Р 51256-2011,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Р 52282-2004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Р 52290-2004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ГОСТ Р 52607-2006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Кургановым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1 ст. 12.34 КоАП РФ, подтверждается письменными доказательствами, имеющимися в материалах дела: протоколом 82 АП № </w:t>
      </w:r>
      <w:r>
        <w:rPr>
          <w:rFonts w:ascii="Times New Roman" w:eastAsia="Times New Roman" w:hAnsi="Times New Roman" w:cs="Times New Roman"/>
          <w:sz w:val="28"/>
          <w:szCs w:val="28"/>
        </w:rPr>
        <w:t>092972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.2021г.; определением о возбуждении дела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 </w:t>
      </w:r>
      <w:r>
        <w:rPr>
          <w:rFonts w:ascii="Times New Roman" w:eastAsia="Times New Roman" w:hAnsi="Times New Roman" w:cs="Times New Roman"/>
          <w:sz w:val="28"/>
          <w:szCs w:val="28"/>
        </w:rPr>
        <w:t>024693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.2021г.; предписанием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актом №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содержании дорог,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файлами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Курганова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делу, а также для освобождения должностного лица от административной ответственности, в том числе по малозначительности, не имеется, поскольку отсутствие вредных последствий для наступления ответственности за указанное правонарушение, представляющее повышенную опасность в виде возможного причинения вреда жизни, здоровью и имуществу участников дорожного движения, то есть существенно нарушающего охраняемые общественные отношения, значения не имеет.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Форма вины (умысел или неосторожность) в данном случае на оценку правонарушения как малозначительного не влияет.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 мировым судьей признается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несовершеннолетнего ребенка.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Курганова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Курганову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характер и обстоятельства совершенного правонарушения, наличие смягчающего и отягчающих административную ответственность обстоятельств, его материальное положение,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минимальном размере санкции статьи, предусмотренной за совершенное правонарушение.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смягчающих обстоятельств, выразившиеся в признании вины и наличии несовершеннолетних детей, суд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Курганову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минимальном размере, предусмотренном санкцией ч. 1 ст. 12.34 КоАП Российской Федерации,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000.00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«Альт-Эра» - </w:t>
      </w:r>
      <w:r>
        <w:rPr>
          <w:rStyle w:val="cat-UserDefinedgrp-59rplc-96"/>
          <w:rFonts w:ascii="Times New Roman" w:eastAsia="Times New Roman" w:hAnsi="Times New Roman" w:cs="Times New Roman"/>
          <w:sz w:val="28"/>
          <w:szCs w:val="28"/>
        </w:rPr>
        <w:t>КУРГАНОВА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62rplc-100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12.34 КоАП РФ, и назначить ему наказание с применением п. 2.2 ст. 4.1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штрафа необходимо произвести по следующим реквизитам: УФК по Республике Крым (ОМВД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Ленинскому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району) КПП 91</w:t>
      </w:r>
      <w:r>
        <w:rPr>
          <w:rFonts w:ascii="Times New Roman" w:eastAsia="Times New Roman" w:hAnsi="Times New Roman" w:cs="Times New Roman"/>
          <w:sz w:val="28"/>
          <w:szCs w:val="28"/>
        </w:rPr>
        <w:t>1101001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9111000524</w:t>
      </w:r>
      <w:r>
        <w:rPr>
          <w:rFonts w:ascii="Times New Roman" w:eastAsia="Times New Roman" w:hAnsi="Times New Roman" w:cs="Times New Roman"/>
          <w:sz w:val="28"/>
          <w:szCs w:val="28"/>
        </w:rPr>
        <w:t>, ОКТМО 3562</w:t>
      </w:r>
      <w:r>
        <w:rPr>
          <w:rFonts w:ascii="Times New Roman" w:eastAsia="Times New Roman" w:hAnsi="Times New Roman" w:cs="Times New Roman"/>
          <w:sz w:val="28"/>
          <w:szCs w:val="28"/>
        </w:rPr>
        <w:t>7405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\с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по Республике Крым Банка России, БИК 013510002,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>, КБК 18811601123010001140, УИН 18810491212</w:t>
      </w:r>
      <w:r>
        <w:rPr>
          <w:rFonts w:ascii="Times New Roman" w:eastAsia="Times New Roman" w:hAnsi="Times New Roman" w:cs="Times New Roman"/>
          <w:sz w:val="28"/>
          <w:szCs w:val="28"/>
        </w:rPr>
        <w:t>200001404</w:t>
      </w:r>
      <w:r>
        <w:rPr>
          <w:rFonts w:ascii="Times New Roman" w:eastAsia="Times New Roman" w:hAnsi="Times New Roman" w:cs="Times New Roman"/>
          <w:sz w:val="28"/>
          <w:szCs w:val="28"/>
        </w:rPr>
        <w:t>. Наименование платежа: оплата штрафа за административное правонарушение, предусмотренное ч. 1 ст. 12.34 КоАП РФ.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представить в судебный участок №55 Красногвардейского судебного района Республики Крым до истечения шестидесяти дней со дня вступления постановления в 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постановление, административный штраф уплачивается в полном размере.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Также,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9rplc-14">
    <w:name w:val="cat-UserDefined grp-59 rplc-14"/>
    <w:basedOn w:val="DefaultParagraphFont"/>
  </w:style>
  <w:style w:type="character" w:customStyle="1" w:styleId="cat-UserDefinedgrp-60rplc-17">
    <w:name w:val="cat-UserDefined grp-60 rplc-17"/>
    <w:basedOn w:val="DefaultParagraphFont"/>
  </w:style>
  <w:style w:type="character" w:customStyle="1" w:styleId="cat-UserDefinedgrp-61rplc-28">
    <w:name w:val="cat-UserDefined grp-61 rplc-28"/>
    <w:basedOn w:val="DefaultParagraphFont"/>
  </w:style>
  <w:style w:type="character" w:customStyle="1" w:styleId="cat-UserDefinedgrp-59rplc-96">
    <w:name w:val="cat-UserDefined grp-59 rplc-96"/>
    <w:basedOn w:val="DefaultParagraphFont"/>
  </w:style>
  <w:style w:type="character" w:customStyle="1" w:styleId="cat-UserDefinedgrp-62rplc-100">
    <w:name w:val="cat-UserDefined grp-62 rplc-10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dokipedia.ru/document/5324748" TargetMode="External" /><Relationship Id="rId11" Type="http://schemas.openxmlformats.org/officeDocument/2006/relationships/hyperlink" Target="https://www.dokipedia.ru/document/5276014" TargetMode="External" /><Relationship Id="rId12" Type="http://schemas.openxmlformats.org/officeDocument/2006/relationships/hyperlink" Target="https://www.dokipedia.ru/document/517305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kipedia.ru/document/5321965?pid=68" TargetMode="External" /><Relationship Id="rId5" Type="http://schemas.openxmlformats.org/officeDocument/2006/relationships/hyperlink" Target="consultantplus://offline/ref=8A73EECA9F2151792205B42EFC0B58C8E702E153EB59B6F5456A782DC85E25E125AC6258FD1A610AF86BDBC5645596379F68CDAD1395074AoFp9K" TargetMode="External" /><Relationship Id="rId6" Type="http://schemas.openxmlformats.org/officeDocument/2006/relationships/hyperlink" Target="consultantplus://offline/ref=722A415C47C2AF1D64C0CF5D42F36728C73399B4D64DFF069A9669A24C16FE95B26C58FC8FD8DBC8E835E0EE9457CBD2E316EF1E3A6AU4L" TargetMode="External" /><Relationship Id="rId7" Type="http://schemas.openxmlformats.org/officeDocument/2006/relationships/hyperlink" Target="consultantplus://offline/ref=722A415C47C2AF1D64C0CF5D42F36728C73399B4D64DFF069A9669A24C16FE95B26C58FC8FD9DBC8E835E0EE9457CBD2E316EF1E3A6AU4L" TargetMode="External" /><Relationship Id="rId8" Type="http://schemas.openxmlformats.org/officeDocument/2006/relationships/hyperlink" Target="https://www.dokipedia.ru/document/5275963" TargetMode="External" /><Relationship Id="rId9" Type="http://schemas.openxmlformats.org/officeDocument/2006/relationships/hyperlink" Target="https://www.dokipedia.ru/document/532830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