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269</w:t>
      </w:r>
      <w:r>
        <w:rPr>
          <w:rFonts w:ascii="Times New Roman" w:eastAsia="Times New Roman" w:hAnsi="Times New Roman" w:cs="Times New Roman"/>
          <w:sz w:val="27"/>
          <w:szCs w:val="27"/>
        </w:rPr>
        <w:t>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MS0</w:t>
      </w:r>
      <w:r>
        <w:rPr>
          <w:rFonts w:ascii="Times New Roman" w:eastAsia="Times New Roman" w:hAnsi="Times New Roman" w:cs="Times New Roman"/>
          <w:sz w:val="27"/>
          <w:szCs w:val="27"/>
        </w:rPr>
        <w:t>036-01-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0956-08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 Красногвардейское,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16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4 ст.12.15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Рефата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Рустемовича, </w:t>
      </w:r>
      <w:r>
        <w:rPr>
          <w:rStyle w:val="cat-UserDefinedgrp-34rplc-14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378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2 года в 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автомобил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ь </w:t>
      </w:r>
      <w:r>
        <w:rPr>
          <w:rFonts w:ascii="Times New Roman" w:eastAsia="Times New Roman" w:hAnsi="Times New Roman" w:cs="Times New Roman"/>
          <w:sz w:val="27"/>
          <w:szCs w:val="27"/>
        </w:rPr>
        <w:t>Джили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>
        <w:rPr>
          <w:rStyle w:val="cat-UserDefinedgrp-35rplc-22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43км </w:t>
      </w:r>
      <w:r>
        <w:rPr>
          <w:rFonts w:ascii="Times New Roman" w:eastAsia="Times New Roman" w:hAnsi="Times New Roman" w:cs="Times New Roman"/>
          <w:sz w:val="27"/>
          <w:szCs w:val="27"/>
        </w:rPr>
        <w:t>автодорог</w:t>
      </w:r>
      <w:r>
        <w:rPr>
          <w:rFonts w:ascii="Times New Roman" w:eastAsia="Times New Roman" w:hAnsi="Times New Roman" w:cs="Times New Roman"/>
          <w:sz w:val="27"/>
          <w:szCs w:val="27"/>
        </w:rPr>
        <w:t>и граница с Украиной –Симферополь–Алушта–Ялта</w:t>
      </w:r>
      <w:r>
        <w:rPr>
          <w:rFonts w:ascii="Times New Roman" w:eastAsia="Times New Roman" w:hAnsi="Times New Roman" w:cs="Times New Roman"/>
          <w:sz w:val="27"/>
          <w:szCs w:val="27"/>
        </w:rPr>
        <w:t>, совершил маневр обгона транспортного средства, двигавшегося в попутном направлении в зоне действия дорожной разметк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1.1 ПДД РФ, чем нарушил п.1.3 и п.9.1(1)ПДД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Определением мирового судьи судебного участка № 36 </w:t>
      </w:r>
      <w:r>
        <w:rPr>
          <w:rFonts w:ascii="Times New Roman" w:eastAsia="Times New Roman" w:hAnsi="Times New Roman" w:cs="Times New Roman"/>
          <w:sz w:val="27"/>
          <w:szCs w:val="27"/>
        </w:rPr>
        <w:t>Джанкойского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Республики Крым от 20.06.2022 года дела направлено на рассмотрение по месту жительства лица, привлекаемого к административной ответственности.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не признал и пояснил, что он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маневр в зоне действия дорожной разметки 1.6, после остановки его сотрудниками ГИБДД он вернулся на тот участок дороги и снял видео, где видно, что линия была прерывистая, однако в этот же дань была нанесена новая разметка со сплошной линией разметки.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исследовав в совокупности материалы дела об административном правонарушении, обозрев видеозапись, выслушав позицию лица, привлекаемого к административной ответственности, допросив свидетеля сотрудника ГИБДД Шевченко К.А., свидетеля </w:t>
      </w:r>
      <w:r>
        <w:rPr>
          <w:rFonts w:ascii="Times New Roman" w:eastAsia="Times New Roman" w:hAnsi="Times New Roman" w:cs="Times New Roman"/>
          <w:sz w:val="27"/>
          <w:szCs w:val="27"/>
        </w:rPr>
        <w:t>Гуменюка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А.Г., приходит к выводу о том,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 ст. 12.15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</w:t>
      </w:r>
      <w:r>
        <w:rPr>
          <w:rFonts w:ascii="Times New Roman" w:eastAsia="Times New Roman" w:hAnsi="Times New Roman" w:cs="Times New Roman"/>
          <w:sz w:val="27"/>
          <w:szCs w:val="27"/>
        </w:rPr>
        <w:t>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(1.3ПДД)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разделу 1 Правил дорожного движения Обгон -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опережение одного или нескольких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движущихся транспортных средств, связанное с выездом на полосу (сторону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проезжей части), предназначенную для встречного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движения, и последующим возвращением на ранее занимаемую полосу (сторону проезжей части).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Полоса движения - любая из продольных полос проезжей части, обозначенная или не обозначенная разметкой и имеющая ширину, достаточную для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автомобилей в один ряд.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9.1(1) ПДД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 в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требований п. </w:t>
      </w:r>
      <w:r>
        <w:rPr>
          <w:rFonts w:ascii="Times New Roman" w:eastAsia="Times New Roman" w:hAnsi="Times New Roman" w:cs="Times New Roman"/>
          <w:sz w:val="27"/>
          <w:szCs w:val="27"/>
        </w:rPr>
        <w:t>9.1 (1)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.3 ПДД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</w:t>
      </w:r>
      <w:r>
        <w:rPr>
          <w:rFonts w:ascii="Times New Roman" w:eastAsia="Times New Roman" w:hAnsi="Times New Roman" w:cs="Times New Roman"/>
          <w:sz w:val="27"/>
          <w:szCs w:val="27"/>
        </w:rPr>
        <w:t>24 мая 2022 года в 10 часов 50 минут, 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Р.Р., управляя транспортным средством – автомобиль </w:t>
      </w:r>
      <w:r>
        <w:rPr>
          <w:rFonts w:ascii="Times New Roman" w:eastAsia="Times New Roman" w:hAnsi="Times New Roman" w:cs="Times New Roman"/>
          <w:sz w:val="27"/>
          <w:szCs w:val="27"/>
        </w:rPr>
        <w:t>Джили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государственный регистрационный знак Е592МО777, на 43км автодороги граница с Украиной –Симферополь–Алушта–Ялта, совершил маневр обгона транспортного средства, двигавшегося в попутном направлении в зоне действия дорожной разметки 1.1 ПДД РФ,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 9.1 (1), п. 1.3 Правил дорожного движения.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 подтверждается протоколом об административном правонарушении серии 82АП № 111283 от 24.05.2022 года,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котором он согласился с правонарушением; </w:t>
      </w:r>
      <w:r>
        <w:rPr>
          <w:rFonts w:ascii="Times New Roman" w:eastAsia="Times New Roman" w:hAnsi="Times New Roman" w:cs="Times New Roman"/>
          <w:sz w:val="27"/>
          <w:szCs w:val="27"/>
        </w:rPr>
        <w:t>схемой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которой</w:t>
      </w:r>
      <w:r>
        <w:rPr>
          <w:rFonts w:ascii="Calibri" w:eastAsia="Calibri" w:hAnsi="Calibri" w:cs="Calibri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 пересек линию разметки 1.1, возражений по поводу составленной схемы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 не высказывал; а также показаниями свидетелей. Так свидетель </w:t>
      </w:r>
      <w:r>
        <w:rPr>
          <w:rFonts w:ascii="Times New Roman" w:eastAsia="Times New Roman" w:hAnsi="Times New Roman" w:cs="Times New Roman"/>
          <w:sz w:val="27"/>
          <w:szCs w:val="27"/>
        </w:rPr>
        <w:t>Гуменюк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А.Г., являющийся водителем автомобиля ГАЗ 33027, </w:t>
      </w:r>
      <w:r>
        <w:rPr>
          <w:rFonts w:ascii="Times New Roman" w:eastAsia="Times New Roman" w:hAnsi="Times New Roman" w:cs="Times New Roman"/>
          <w:sz w:val="27"/>
          <w:szCs w:val="27"/>
        </w:rPr>
        <w:t>г.н.з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К301НО82, которого обогнал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Р.Р.. пояснил суду, что водитель автомобиля </w:t>
      </w:r>
      <w:r>
        <w:rPr>
          <w:rFonts w:ascii="Times New Roman" w:eastAsia="Times New Roman" w:hAnsi="Times New Roman" w:cs="Times New Roman"/>
          <w:sz w:val="27"/>
          <w:szCs w:val="27"/>
        </w:rPr>
        <w:t>Джили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черного цвета обогнал его через сплошную линию разметки.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Свидетель – сотрудник ГИБДД Шевченко К.А., пояснил суду, что им был остановлен автомобиль под управлением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 за пересечение сплошной линии разметки, также был остановлен автомобиль который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 обогнал, правонарушение было выявлено сразу после знака-43км, что подтверждается фотографией, сделанной на личный телефон.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принимает в качестве доказательств видео, предоставленное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 об отсутствии сплошной линии разметки, поскольку данное ви</w:t>
      </w:r>
      <w:r>
        <w:rPr>
          <w:rFonts w:ascii="Times New Roman" w:eastAsia="Times New Roman" w:hAnsi="Times New Roman" w:cs="Times New Roman"/>
          <w:sz w:val="27"/>
          <w:szCs w:val="27"/>
        </w:rPr>
        <w:t>део демонстрирует участок дороги до 43км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кроме того, длинная прерывистая линия – это разметка под номером 1.6. Она идёт после короткой прерывистой (1.5) и означает скорое приближение к сплошной, тогда как на видео, </w:t>
      </w:r>
      <w:r>
        <w:rPr>
          <w:rFonts w:ascii="Times New Roman" w:eastAsia="Times New Roman" w:hAnsi="Times New Roman" w:cs="Times New Roman"/>
          <w:sz w:val="27"/>
          <w:szCs w:val="27"/>
        </w:rPr>
        <w:t>затёртости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участке дороги наступают сразу после двойной сплошной на что водитель должен был обратить внимание и не совершать маневр.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Нарушений, установленного законом порядка, составления протокол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других материалов</w:t>
      </w:r>
      <w:r>
        <w:rPr>
          <w:rFonts w:ascii="Times New Roman" w:eastAsia="Times New Roman" w:hAnsi="Times New Roman" w:cs="Times New Roman"/>
          <w:sz w:val="27"/>
          <w:szCs w:val="27"/>
        </w:rPr>
        <w:t>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>. 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поскольку его действиями нарушен п. </w:t>
      </w:r>
      <w:r>
        <w:rPr>
          <w:rFonts w:ascii="Times New Roman" w:eastAsia="Times New Roman" w:hAnsi="Times New Roman" w:cs="Times New Roman"/>
          <w:sz w:val="27"/>
          <w:szCs w:val="27"/>
        </w:rPr>
        <w:t>1.3, 9.1(1)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ПДД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Права, предусмотренные с. 51 Конституции Российской Федерации, ст. 25.1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разъяснены.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4 ст. 12.15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Совершенное,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деяние, квалифицируется судьей по части 4 статьи 12.15 КоАП РФ в соответствии с установленными обстоятельствами и нормами названного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отсутствие обстоятельств отягчающих административную ответственность и наличие смягчающих обстоятельств.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частью 4 статьи 12.15, ст.29.9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судья, -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Рефата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Рустемовича, </w:t>
      </w:r>
      <w:r>
        <w:rPr>
          <w:rStyle w:val="cat-UserDefinedgrp-36rplc-51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виновным в совершении административного правонарушения, предусмотренного ч.4 ст. 12.15 КоАП РФ и подвергнуть его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шестидесяти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получателя платежа: получатель УФК по Краснодарскому краю, </w:t>
      </w:r>
      <w:r>
        <w:rPr>
          <w:rStyle w:val="cat-UserDefinedgrp-37rplc-55"/>
          <w:rFonts w:ascii="Times New Roman" w:eastAsia="Times New Roman" w:hAnsi="Times New Roman" w:cs="Times New Roman"/>
          <w:sz w:val="27"/>
          <w:szCs w:val="27"/>
        </w:rPr>
        <w:t>реквизиты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ул. Титова, д.60.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150"/>
        <w:ind w:firstLine="709"/>
        <w:jc w:val="both"/>
        <w:rPr>
          <w:sz w:val="27"/>
          <w:szCs w:val="27"/>
        </w:rPr>
      </w:pPr>
    </w:p>
    <w:p>
      <w:pPr>
        <w:spacing w:before="0" w:after="15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51">
    <w:name w:val="cat-UserDefined grp-36 rplc-51"/>
    <w:basedOn w:val="DefaultParagraphFont"/>
  </w:style>
  <w:style w:type="character" w:customStyle="1" w:styleId="cat-UserDefinedgrp-37rplc-55">
    <w:name w:val="cat-UserDefined grp-3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