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0055-01-2019-001079-39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Романова Алексея Александровича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проживающего и заре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7 часов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выявлено,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хранил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хозяйственных помещениях, расположенных на территории домовладения № 15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цели сбыта вещество растительного происхождения массой 0,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согласно заключения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1/2044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является наркотическим средством – марихуана.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А.А</w:t>
      </w:r>
      <w:r>
        <w:rPr>
          <w:rFonts w:ascii="Times New Roman" w:eastAsia="Times New Roman" w:hAnsi="Times New Roman" w:cs="Times New Roman"/>
          <w:sz w:val="28"/>
          <w:szCs w:val="28"/>
        </w:rPr>
        <w:t>. вину в совершенном правонарушении признал полностью,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А.А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6.8 КоАП РФ, как незаконное хранение без цели сбыта наркотических средств.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290290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года;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1/2044 от 25.10.2019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 обыска от 21.10.2019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Романова А.А.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</w:t>
      </w:r>
      <w:r>
        <w:rPr>
          <w:rFonts w:ascii="Times New Roman" w:eastAsia="Times New Roman" w:hAnsi="Times New Roman" w:cs="Times New Roman"/>
          <w:sz w:val="28"/>
          <w:szCs w:val="28"/>
        </w:rPr>
        <w:t>невиновности, законности, индивидуализации ответственности, учитывает характер совершенного правонарушения, имущественное положение лица, который официально не трудоустроен, однако имеет постоянный доход от деятельности на полях.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административную ответственность судом признается раскаянье лица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Романова Алексея Александровича, </w:t>
      </w:r>
      <w:r>
        <w:rPr>
          <w:rStyle w:val="cat-ExternalSystem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18811612000016000140, ИНН 9105000100, КПП 910501001, ОКТМО 35620401 (УИН 18880491190002</w:t>
      </w:r>
      <w:r>
        <w:rPr>
          <w:rFonts w:ascii="Times New Roman" w:eastAsia="Times New Roman" w:hAnsi="Times New Roman" w:cs="Times New Roman"/>
          <w:sz w:val="28"/>
          <w:szCs w:val="28"/>
        </w:rPr>
        <w:t>902908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ExternalSystemDefinedgrp-29rplc-29">
    <w:name w:val="cat-ExternalSystemDefined grp-29 rplc-29"/>
    <w:basedOn w:val="DefaultParagraphFont"/>
  </w:style>
  <w:style w:type="character" w:customStyle="1" w:styleId="cat-PassportDatagrp-21rplc-30">
    <w:name w:val="cat-PassportData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