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337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08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08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августа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3rplc-6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пояснил, что в указанное время работал на подработке у знакомого</w:t>
      </w:r>
      <w:r>
        <w:rPr>
          <w:rFonts w:ascii="Times New Roman" w:eastAsia="Times New Roman" w:hAnsi="Times New Roman" w:cs="Times New Roman"/>
        </w:rPr>
        <w:t>, грузил зерно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1010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>19.24 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8201 № 1010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рапортом, планом-заданием о 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.07.2023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его жительства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.07.2023, </w:t>
      </w:r>
      <w:r>
        <w:rPr>
          <w:rFonts w:ascii="Times New Roman" w:eastAsia="Times New Roman" w:hAnsi="Times New Roman" w:cs="Times New Roman"/>
        </w:rPr>
        <w:t>письменными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</w:t>
      </w:r>
      <w:r>
        <w:rPr>
          <w:rFonts w:ascii="Times New Roman" w:eastAsia="Times New Roman" w:hAnsi="Times New Roman" w:cs="Times New Roman"/>
        </w:rPr>
        <w:t>№ 2а-699/2018,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3rplc-40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26rplc-44"/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3rplc-40">
    <w:name w:val="cat-UserDefined grp-23 rplc-40"/>
    <w:basedOn w:val="DefaultParagraphFont"/>
  </w:style>
  <w:style w:type="character" w:customStyle="1" w:styleId="cat-UserDefinedgrp-25rplc-43">
    <w:name w:val="cat-UserDefined grp-25 rplc-43"/>
    <w:basedOn w:val="DefaultParagraphFont"/>
  </w:style>
  <w:style w:type="character" w:customStyle="1" w:styleId="cat-UserDefinedgrp-26rplc-44">
    <w:name w:val="cat-UserDefined grp-2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