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-29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91MS0055-01-2019-001105-58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04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ч.1 ст.8.37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Сиротенко Юрия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холост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ого, </w:t>
      </w:r>
      <w:r>
        <w:rPr>
          <w:rFonts w:ascii="Times New Roman" w:eastAsia="Times New Roman" w:hAnsi="Times New Roman" w:cs="Times New Roman"/>
          <w:sz w:val="27"/>
          <w:szCs w:val="27"/>
        </w:rPr>
        <w:t>временно не работа</w:t>
      </w:r>
      <w:r>
        <w:rPr>
          <w:rFonts w:ascii="Times New Roman" w:eastAsia="Times New Roman" w:hAnsi="Times New Roman" w:cs="Times New Roman"/>
          <w:sz w:val="27"/>
          <w:szCs w:val="27"/>
        </w:rPr>
        <w:t>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Егудина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д.12, кв. 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8.37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ноября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Сиротенко Ю.И.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нарушил правила охоты,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осуществлял охоту в общедоступном </w:t>
      </w:r>
      <w:r>
        <w:rPr>
          <w:rFonts w:ascii="Times New Roman" w:eastAsia="Times New Roman" w:hAnsi="Times New Roman" w:cs="Times New Roman"/>
          <w:sz w:val="27"/>
          <w:szCs w:val="27"/>
        </w:rPr>
        <w:t>охотничь</w:t>
      </w:r>
      <w:r>
        <w:rPr>
          <w:rFonts w:ascii="Times New Roman" w:eastAsia="Times New Roman" w:hAnsi="Times New Roman" w:cs="Times New Roman"/>
          <w:sz w:val="27"/>
          <w:szCs w:val="27"/>
        </w:rPr>
        <w:t>ем угодье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близи села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охотничьего билета единого Федерального образца,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разрешения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РОХа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без соответствующего разрешения на добычу охотничьих ресурсов на данной территории</w:t>
      </w:r>
      <w:r>
        <w:rPr>
          <w:rFonts w:ascii="Times New Roman" w:eastAsia="Times New Roman" w:hAnsi="Times New Roman" w:cs="Times New Roman"/>
          <w:sz w:val="27"/>
          <w:szCs w:val="27"/>
        </w:rPr>
        <w:t>, без путевки,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принадлежащим ему охотничьим ружьем </w:t>
      </w:r>
      <w:r>
        <w:rPr>
          <w:rFonts w:ascii="Times New Roman" w:eastAsia="Times New Roman" w:hAnsi="Times New Roman" w:cs="Times New Roman"/>
          <w:sz w:val="27"/>
          <w:szCs w:val="27"/>
        </w:rPr>
        <w:t>ИЖ-</w:t>
      </w:r>
      <w:r>
        <w:rPr>
          <w:rFonts w:ascii="Times New Roman" w:eastAsia="Times New Roman" w:hAnsi="Times New Roman" w:cs="Times New Roman"/>
          <w:sz w:val="27"/>
          <w:szCs w:val="27"/>
        </w:rPr>
        <w:t>12 №Н-23561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калибра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>.14 ч.4, ст.20 ч.3,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24.07.2009 N 209-ФЗ (ред. от 29.07.2017) "Об охоте и о сохранении охотничьих ресурсов и о внесении изменений в отдельные законодательные акты Российской Федерации", и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3, 3.1,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3.2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/Б/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Правил охоты, утвержденных Приказом Минприроды России от 16.11.2010 N 512 (ред. от 06.08.2015) "Об утверждении Правил охоты" (Зарегистрировано в Минюсте России 04.02.2011 N 19704).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Сиротенко Ю.И.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содеянном раскаялся. 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 допущено по </w:t>
      </w:r>
      <w:r>
        <w:rPr>
          <w:rFonts w:ascii="Times New Roman" w:eastAsia="Times New Roman" w:hAnsi="Times New Roman" w:cs="Times New Roman"/>
          <w:sz w:val="27"/>
          <w:szCs w:val="27"/>
        </w:rPr>
        <w:t>невнимательности, забыл документы в машине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Сиротенко Ю.И.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8.37 Кодекса Российской Федерации об административных правонарушениях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должностных лиц - от двадцати тысяч до тридцати пяти тысяч рублей с конфискацией орудий охоты или без таковой.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5 статьи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охотой признается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2 статьи 57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3 ст. 23 Закона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 53, 53.1 Правил охоты, при осуществлении охоты 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 исключением случаев, указанных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59 настоящих Правил, а также отлова охотничьих животных в целях осуществления научно-исследовательской деятельности, образовательной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7"/>
          <w:szCs w:val="27"/>
        </w:rPr>
        <w:t>10 ноября 2019 года в 10 часов 15 минут Сиротенко Ю.И. нарушил правила охоты, а именно: осуществлял охоту в общедоступном охотничьем угодье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закрепленном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Красногвардейским РОО «КРООР»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вблизи села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охотничьего билета единого Федерального образца, без разрешения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РОХа</w:t>
      </w:r>
      <w:r>
        <w:rPr>
          <w:rFonts w:ascii="Times New Roman" w:eastAsia="Times New Roman" w:hAnsi="Times New Roman" w:cs="Times New Roman"/>
          <w:sz w:val="27"/>
          <w:szCs w:val="27"/>
        </w:rPr>
        <w:t>, без соответствующего разрешения на добычу охотничьих ресурсов на данной территории, без путевки, с принадлежащим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охотничьим ружьем ИЖ-12 №Н-23561 калибра 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Сиротенко Ю.И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предусмотренный ч.1 ст.8.37 КоАП РФ, т.к. он нарушил правила охоты.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Сиротенко Ю.И.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Сиротенко Ю.И.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ст.8.37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Сиротенко Ю.И.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ст.8.37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Сиротенко Ю.И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Сиротенко Ю.И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ст.ст.8.37, 29.9-29.10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Сиротенко Юрия Ивановича, </w:t>
      </w:r>
      <w:r>
        <w:rPr>
          <w:rStyle w:val="cat-ExternalSystemDefinedgrp-33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4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ст.8.37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и назначить ему наказание в виде административного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>,00 (пятьсот)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без конфискации орудия охоты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штраф подлежит оплате на следующие реквизиты: Наименование получателя платежа: получатель УФК по Республике Крым (Минприроды Крыма л/с 04752203170),Банк получателя: БИК 043510001,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/с. 40101810335100010001, ИНН 9102001017, КПП 910201001, КБК 82011625030010000140, 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(УИН «0» штраф по постановлению № 5-55-29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/2019).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Титова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8"/>
        <w:rPr>
          <w:sz w:val="27"/>
          <w:szCs w:val="27"/>
        </w:rPr>
      </w:pPr>
    </w:p>
    <w:sectPr>
      <w:headerReference w:type="default" r:id="rId9"/>
      <w:foot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33rplc-40">
    <w:name w:val="cat-ExternalSystemDefined grp-33 rplc-40"/>
    <w:basedOn w:val="DefaultParagraphFont"/>
  </w:style>
  <w:style w:type="character" w:customStyle="1" w:styleId="cat-PassportDatagrp-24rplc-41">
    <w:name w:val="cat-PassportData grp-2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E4102F5C676CA3C654A3463338E61CDC1E1063D06898C9B6390446235B7A73DBB6577304854FD3z7O5K" TargetMode="External" /><Relationship Id="rId5" Type="http://schemas.openxmlformats.org/officeDocument/2006/relationships/hyperlink" Target="consultantplus://offline/ref=F6E4102F5C676CA3C654A3463338E61CDC1E1063D06898C9B6390446235B7A73DBB6577304854AD0z7O5K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