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№5-55-</w:t>
      </w:r>
      <w:r>
        <w:rPr>
          <w:rFonts w:ascii="Times New Roman" w:eastAsia="Times New Roman" w:hAnsi="Times New Roman" w:cs="Times New Roman"/>
          <w:sz w:val="26"/>
          <w:szCs w:val="26"/>
        </w:rPr>
        <w:t>309</w:t>
      </w:r>
      <w:r>
        <w:rPr>
          <w:rFonts w:ascii="Times New Roman" w:eastAsia="Times New Roman" w:hAnsi="Times New Roman" w:cs="Times New Roman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пгт.Красногвардейское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главного бухгалтера Общества с ограниченной ответственностью «Агрофирма «Нива»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Натальи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«АГРОФИРМА «НИВА»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о налогах и сборах срок оформленных в установленном порядке документов и (или) иных сведений, необходимых для осу</w:t>
      </w:r>
      <w:r>
        <w:rPr>
          <w:rFonts w:ascii="Times New Roman" w:eastAsia="Times New Roman" w:hAnsi="Times New Roman" w:cs="Times New Roman"/>
          <w:sz w:val="26"/>
          <w:szCs w:val="26"/>
        </w:rPr>
        <w:t>ществления налогового контроля, а именно налогового расчета по авансовому платежу по налогу на имущество организаций за 1 квартал 2018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надлежащим образом. Как следует из отчета об отслеживании отправлений,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ст.1 Закона Республики Крым «О налоге на имущество организаций» №7-ЗРК/2014 от 19.11.2014 г. на территории Республики Крым устанавливается и вводится в действие налог на имущество организаций. Согласно ст.7 вышеуказанного закона, он вступает в силу с 01 января 2015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п.1 ст.373 НК РФ, налогоплательщиками налога на имущество организаций признаются организации, имеющие имущество, признаваемое объектом налогообложения в соответствии со статьей 374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ст.374 НК РФ,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 не предусмотрено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статьями 378, 378.1 и 378.2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данным налогового расчета по авансовому платежу по налогу на имущество организаций </w:t>
      </w:r>
      <w:r>
        <w:rPr>
          <w:rFonts w:ascii="Times New Roman" w:eastAsia="Times New Roman" w:hAnsi="Times New Roman" w:cs="Times New Roman"/>
          <w:sz w:val="26"/>
          <w:szCs w:val="26"/>
        </w:rPr>
        <w:t>pe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№ 2926004 представленного ООО «АГРОФИРМА «НИВА», организация имеет основные средства являющиеся объектом налогообложения налога на имущество организаций, в связи с чем ООО «АГРОФИРМА «НИВА» является плательщиком налога на имущество организаций.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п.1 ст. 386 Налогового кодекса Российской Федерации,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 ст. 386 НК РФ, налогоплательщики представляют налоговые расчеты по авансовым платежам по налогу не позднее 30 календарных дней </w:t>
      </w:r>
      <w:r>
        <w:rPr>
          <w:rFonts w:ascii="Times New Roman" w:eastAsia="Times New Roman" w:hAnsi="Times New Roman" w:cs="Times New Roman"/>
          <w:sz w:val="26"/>
          <w:szCs w:val="26"/>
        </w:rPr>
        <w:t>с даты окончания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отчетного периода. В соответствии с п.7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Предельный срок представления налогового расчета по авансовому платежу по налогу на имущество организаций за 1 квартал 2018 года не позднее 03.05.2018 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 налоговый расчет по авансовому платежу по налогу на имущество организаций за 1 квартал 2018 года представлен 22.05.2018 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нарушение п.2, ст. 386 Налогового кодекса Российской Федерации, главным бухгалтером ООО «АГРОФИРМА «НИВА»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обеспечено 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налогового </w:t>
      </w:r>
      <w:r>
        <w:rPr>
          <w:rFonts w:ascii="Times New Roman" w:eastAsia="Times New Roman" w:hAnsi="Times New Roman" w:cs="Times New Roman"/>
          <w:sz w:val="26"/>
          <w:szCs w:val="26"/>
        </w:rPr>
        <w:t>расчета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авансовому платежу по налогу на имущество организаций за 1 квартал 2018 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.2018 г. обязанности по предоставлению в налоговый орган налоговых деклараций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были возложены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главного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ухгалтер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«АГРОФИРМА «НИВА»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2.4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РФ, что подтверждается приказом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«О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распечаткой из АИС Налог, подтверждением даты отправки, квитанцией о приеме налоговой декларации (расчета) в электронном виде, </w:t>
      </w:r>
      <w:r>
        <w:rPr>
          <w:rFonts w:ascii="Times New Roman" w:eastAsia="Times New Roman" w:hAnsi="Times New Roman" w:cs="Times New Roman"/>
          <w:sz w:val="26"/>
          <w:szCs w:val="26"/>
        </w:rPr>
        <w:t>приказом №2 от 29.09.2014 года «О назначении главного бухгалтера»</w:t>
      </w:r>
      <w:r>
        <w:rPr>
          <w:rFonts w:ascii="Times New Roman" w:eastAsia="Times New Roman" w:hAnsi="Times New Roman" w:cs="Times New Roman"/>
          <w:sz w:val="26"/>
          <w:szCs w:val="26"/>
        </w:rPr>
        <w:t>, должностной инструкцией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главного бухгалтера ООО </w:t>
      </w:r>
      <w:r>
        <w:rPr>
          <w:rFonts w:ascii="Times New Roman" w:eastAsia="Times New Roman" w:hAnsi="Times New Roman" w:cs="Times New Roman"/>
          <w:sz w:val="26"/>
          <w:szCs w:val="26"/>
        </w:rPr>
        <w:t>«АГРОФИРМА «НИВА»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утвержденной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 сентября 2014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ст. 28.2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>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>. правильно квалифицированы по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 соответствии со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главного бухгалтера Общества с ограниченной ответственностью «Агрофирма «Нива» </w:t>
      </w:r>
      <w:r>
        <w:rPr>
          <w:rFonts w:ascii="Times New Roman" w:eastAsia="Times New Roman" w:hAnsi="Times New Roman" w:cs="Times New Roman"/>
          <w:sz w:val="26"/>
          <w:szCs w:val="26"/>
        </w:rPr>
        <w:t>Мирончук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Анатольевн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ч.1 ст.15.6 КоАП РФ, и назначить ей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счет получателя платежа 40101810335100010001, КБК 18211603030016000140, ОКТМО </w:t>
      </w:r>
      <w:r>
        <w:rPr>
          <w:rFonts w:ascii="Times New Roman" w:eastAsia="Times New Roman" w:hAnsi="Times New Roman" w:cs="Times New Roman"/>
          <w:sz w:val="26"/>
          <w:szCs w:val="26"/>
        </w:rPr>
        <w:t>35709000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6"/>
          <w:szCs w:val="26"/>
        </w:rPr>
        <w:t>Межрайонная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ИФНС России №1)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БИК 043510001, УИН (код в поле 22) «0».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В.В. Просолов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Addressgrp-2rplc-9">
    <w:name w:val="cat-Address grp-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