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315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Просолов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21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 организации: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 бухгалтером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транспортному налогу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1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административного правонарушения признала, раскаялась.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FIOgrp-1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выводу о том,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ст.356 Налогового кодекса Российской Федерации, транспортный налог устанавливается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Федерации и обязателен к уплате на территории соответствующего субъекта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ст.357 Налогового Кодекса Российской Федерации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Налогового Кодекса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п.1 ст. 358 НК РФ объектом налогообложения транспортным налогом признаются автомобили, мотоциклы, мотороллеры, автобусы и другие самоходные </w:t>
      </w:r>
      <w:r>
        <w:rPr>
          <w:rFonts w:ascii="Times New Roman" w:eastAsia="Times New Roman" w:hAnsi="Times New Roman" w:cs="Times New Roman"/>
          <w:sz w:val="28"/>
          <w:szCs w:val="28"/>
        </w:rPr>
        <w:t>машины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механизмы на пневматическом и </w:t>
      </w:r>
      <w:r>
        <w:rPr>
          <w:rFonts w:ascii="Times New Roman" w:eastAsia="Times New Roman" w:hAnsi="Times New Roman" w:cs="Times New Roman"/>
          <w:sz w:val="28"/>
          <w:szCs w:val="28"/>
        </w:rPr>
        <w:t>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 Закона Республики Крым «О транспортном налоге» №8-ЗРК/2014 от 19.11.2014 г. на территории Республики Крым устанавливается и вводится в действие транспортный налог. Согласно ст.6 вышеуказанного закона, он вступает в силу с 01 января 2015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ст.360 Налогового Кодекса Российской Федерации налоговым периодом по транспортному налогу признается календарный год. Согласно п.2 ст.360 отчетными периодами для налогоплательщиков-организаций признаются первый квартал, второй квартал, третий квартал.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ст.363.1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Пунктом 3 ст. 363.1 определено, что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22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положений пп.4 п.1 ст. 23 НК РФ, п.6 ст. 80 НК РФ, п.1 ст.363.1 НК РФ не предоставило в установленный законодательством срок налоговую декларацию по транспортному налогу за 2017 год. Срок предоставления по законодательству - не позднее 01.02.2018, фактически налогоплательщиком налоговая декларация по транспортному налогу с номером корректировки «0»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.2018г. по телекоммуникационным каналам связи, </w:t>
      </w:r>
      <w:r>
        <w:rPr>
          <w:rFonts w:ascii="Times New Roman" w:eastAsia="Times New Roman" w:hAnsi="Times New Roman" w:cs="Times New Roman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2847895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статьи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216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налогоплательщиков, плательщиков сборов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налоговых агентов,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полномочиях налоговых органов и их должностных лиц, а также по приему налоговых деклараций (расчетов) N 99н от 02.07.2012 года, датой представления налоговой декларации (расчета) заявителем в электронной </w:t>
      </w:r>
      <w:r>
        <w:rPr>
          <w:rFonts w:ascii="Times New Roman" w:eastAsia="Times New Roman" w:hAnsi="Times New Roman" w:cs="Times New Roman"/>
          <w:sz w:val="28"/>
          <w:szCs w:val="28"/>
        </w:rPr>
        <w:t>форме по ТКС через оператора электронного документооборота считается дата, зафиксированная в подтверждении даты отправки.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01.02.2018 г. обязанности по предоставлению в налоговый орган налоговых деклараций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возложены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от 01.01.2015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приеме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21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от 01.01.2015 года о приеме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должностной инструкцией главного бухгалтера </w:t>
      </w:r>
      <w:r>
        <w:rPr>
          <w:rStyle w:val="cat-OrganizationNamegrp-22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01.01.2015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уровня СЭОД «Реестр деклараций ЮЛ</w:t>
      </w:r>
      <w:r>
        <w:rPr>
          <w:rFonts w:ascii="Times New Roman" w:eastAsia="Times New Roman" w:hAnsi="Times New Roman" w:cs="Times New Roman"/>
          <w:sz w:val="28"/>
          <w:szCs w:val="28"/>
        </w:rPr>
        <w:t>», копией подтверждения даты отправки,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приёме налоговой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>ии в электронном виде, извещением о получении электронного документа.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лифицированы по ст.15.5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транспортному налогу за 2017</w:t>
      </w:r>
      <w:r>
        <w:rPr>
          <w:rFonts w:ascii="Times New Roman" w:eastAsia="Times New Roman" w:hAnsi="Times New Roman" w:cs="Times New Roman"/>
          <w:sz w:val="28"/>
          <w:szCs w:val="28"/>
        </w:rPr>
        <w:t>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15.5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21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OrganizationNamegrp-22rplc-22">
    <w:name w:val="cat-OrganizationName grp-22 rplc-22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OrganizationNamegrp-21rplc-34">
    <w:name w:val="cat-OrganizationName grp-21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OrganizationNamegrp-22rplc-38">
    <w:name w:val="cat-OrganizationName grp-22 rplc-38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OrganizationNamegrp-21rplc-45">
    <w:name w:val="cat-OrganizationName grp-21 rplc-45"/>
    <w:basedOn w:val="DefaultParagraphFont"/>
  </w:style>
  <w:style w:type="character" w:customStyle="1" w:styleId="cat-FIOgrp-17rplc-46">
    <w:name w:val="cat-FIO grp-1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