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5-55-333/2019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0055-01-2019-0011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декабря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сектора финансов и бухгалтерского учета Администрации Полтавского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Оксаны Владимировны, </w:t>
      </w:r>
      <w:r>
        <w:rPr>
          <w:rStyle w:val="cat-ExternalSystemDefinedgrp-3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д.6,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ия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едущи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сектора финансов и бухгалтерского учета Администрации Полтавского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представила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расчет по авансовому платежу по налогу на имущество организаций за 1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 ст.230 НК РФ налоговые агенты представляют в налоговый орган по месту своего учета документ, содержащий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доходах физических лиц истекшего налогового периода в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 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авансовому платежу по налогу на имущество организаций за 1 квартал 2019г.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законодательству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налогоплательщик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авансовому платежу по налогу на имущество организаций за 1 квартал 2019г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11.07.2019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не явилась, ходатайств о рассмотрении дела в ее отсутствии и об отложении не заявляла. О месте и времени судебного заседания извещалась надлежащим образом.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также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91051930911567300002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 №8 от 15.01.2015 г. о назначении на должность ведущего специалиста сектора финансов и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приеме налоговой декларации в электронном виде, подтверждением 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отправки налогового расчета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Оксану Владимировну, </w:t>
      </w:r>
      <w:r>
        <w:rPr>
          <w:rStyle w:val="cat-ExternalSystemDefinedgrp-37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правонарушения по ч. 1 ст. 15.6 КоАП РФ и назначить ей административное наказание в виде штрафа в размере 300,00 рублей (триста рубл</w:t>
      </w:r>
      <w:r>
        <w:rPr>
          <w:rFonts w:ascii="Times New Roman" w:eastAsia="Times New Roman" w:hAnsi="Times New Roman" w:cs="Times New Roman"/>
          <w:sz w:val="28"/>
          <w:szCs w:val="28"/>
        </w:rPr>
        <w:t>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</w:t>
      </w:r>
      <w:r>
        <w:rPr>
          <w:rFonts w:ascii="Times New Roman" w:eastAsia="Times New Roman" w:hAnsi="Times New Roman" w:cs="Times New Roman"/>
          <w:sz w:val="28"/>
          <w:szCs w:val="28"/>
        </w:rPr>
        <w:t>810335100010001, БИК 0435100</w:t>
      </w:r>
      <w:r>
        <w:rPr>
          <w:rFonts w:ascii="Times New Roman" w:eastAsia="Times New Roman" w:hAnsi="Times New Roman" w:cs="Times New Roman"/>
          <w:sz w:val="28"/>
          <w:szCs w:val="28"/>
        </w:rPr>
        <w:t>1, получатель УФК по Республике Крым для Межрайонной ИФНС России № 1 ИНН 9105000029, КБК 18211603030016000140, КПП 910501001,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6204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код в поле 22 «0» 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9">
    <w:name w:val="cat-ExternalSystemDefined grp-37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ExternalSystemDefinedgrp-37rplc-41">
    <w:name w:val="cat-ExternalSystemDefined grp-37 rplc-41"/>
    <w:basedOn w:val="DefaultParagraphFont"/>
  </w:style>
  <w:style w:type="character" w:customStyle="1" w:styleId="cat-PassportDatagrp-29rplc-42">
    <w:name w:val="cat-PassportData grp-2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