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342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8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17 декабря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2018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пгт.Красногвардейское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Просолов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РФ,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главы Крестьянского (фермерского) хозяйства «</w:t>
      </w:r>
      <w:r>
        <w:rPr>
          <w:rFonts w:ascii="Times New Roman" w:eastAsia="Times New Roman" w:hAnsi="Times New Roman" w:cs="Times New Roman"/>
        </w:rPr>
        <w:t>Хлебное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5"/>
          <w:rFonts w:ascii="Times New Roman" w:eastAsia="Times New Roman" w:hAnsi="Times New Roman" w:cs="Times New Roman"/>
        </w:rPr>
        <w:t>...</w:t>
      </w:r>
      <w:r>
        <w:rPr>
          <w:rStyle w:val="cat-PassportDatagrp-21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; юридический адрес организации: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Style w:val="cat-FIOgrp-16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</w:rPr>
        <w:t xml:space="preserve">главой </w:t>
      </w:r>
      <w:r>
        <w:rPr>
          <w:rStyle w:val="cat-OrganizationNamegrp-22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представил </w:t>
      </w:r>
      <w:r>
        <w:rPr>
          <w:rFonts w:ascii="Times New Roman" w:eastAsia="Times New Roman" w:hAnsi="Times New Roman" w:cs="Times New Roman"/>
        </w:rPr>
        <w:t>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а именно налогового расчета по авансовому платежу по налогу на имущество организаций за 1 квартал 2018 года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дела </w:t>
      </w:r>
      <w:r>
        <w:rPr>
          <w:rStyle w:val="cat-FIOgrp-16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извещен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надлежащим образом. Как следует из отчета об отслеживании отправлений, направленная судебная повестка вручена адресату. Ходатайств об отложении рассмотрения дела мировому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 xml:space="preserve"> судья полагает возможным рассмотреть данное дело в отсутствие </w:t>
      </w:r>
      <w:r>
        <w:rPr>
          <w:rStyle w:val="cat-FIOgrp-17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ст.1 Закона Республики Крым «О налоге на имущество организаций» №7-ЗРК/2014 от 19.11.2014 г. на территории Республики Крым устанавливается и вводится в действие налог на имущество организаций. Согласно ст.7 вышеуказанного закона, он вступает в силу с 01 января 2015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п.1 ст.373 НК РФ, налогоплательщиками налога на имущество организаций признаются организации, имеющие имущество, признаваемое объектом налогообложения в соответствии со статьей 374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п.1 ст.374 НК РФ, объектами налогообложения для российских организаций признается движимое и 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в качестве объектов основных средств в порядке, </w:t>
      </w:r>
      <w:r>
        <w:rPr>
          <w:rFonts w:ascii="Times New Roman" w:eastAsia="Times New Roman" w:hAnsi="Times New Roman" w:cs="Times New Roman"/>
        </w:rPr>
        <w:t>установленном для ведения бухгалтерского учета, если иное не предусмотрено</w:t>
      </w:r>
      <w:r>
        <w:rPr>
          <w:rFonts w:ascii="Times New Roman" w:eastAsia="Times New Roman" w:hAnsi="Times New Roman" w:cs="Times New Roman"/>
        </w:rPr>
        <w:t xml:space="preserve"> статьями 378, 378.1 и 378.2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 данным налогового расчета по авансовому платежу по налогу на имущество организаций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. № </w:t>
      </w:r>
      <w:r>
        <w:rPr>
          <w:rFonts w:ascii="Times New Roman" w:eastAsia="Times New Roman" w:hAnsi="Times New Roman" w:cs="Times New Roman"/>
        </w:rPr>
        <w:t>3150849</w:t>
      </w:r>
      <w:r>
        <w:rPr>
          <w:rFonts w:ascii="Times New Roman" w:eastAsia="Times New Roman" w:hAnsi="Times New Roman" w:cs="Times New Roman"/>
        </w:rPr>
        <w:t xml:space="preserve"> представленного </w:t>
      </w:r>
      <w:r>
        <w:rPr>
          <w:rStyle w:val="cat-OrganizationNamegrp-22rplc-1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организация имеет основные средства являющиеся объектом налогообложения налога на имущество организаций, в связи с чем </w:t>
      </w:r>
      <w:r>
        <w:rPr>
          <w:rStyle w:val="cat-OrganizationNamegrp-22rplc-2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является плательщиком налога на имущество организаций.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 ст. 386 Налогового кодекса Российской Федерации,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</w:t>
      </w:r>
      <w:r>
        <w:rPr>
          <w:rFonts w:ascii="Times New Roman" w:eastAsia="Times New Roman" w:hAnsi="Times New Roman" w:cs="Times New Roman"/>
        </w:rPr>
        <w:t xml:space="preserve">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п.2 ст. 386 НК РФ, налогоплательщики представляют налоговые расчеты по авансовым платежам по налогу не позднее 30 календарных дней </w:t>
      </w:r>
      <w:r>
        <w:rPr>
          <w:rFonts w:ascii="Times New Roman" w:eastAsia="Times New Roman" w:hAnsi="Times New Roman" w:cs="Times New Roman"/>
        </w:rPr>
        <w:t>с даты окончания</w:t>
      </w:r>
      <w:r>
        <w:rPr>
          <w:rFonts w:ascii="Times New Roman" w:eastAsia="Times New Roman" w:hAnsi="Times New Roman" w:cs="Times New Roman"/>
        </w:rPr>
        <w:t xml:space="preserve"> соответствующего отчетного периода. В соответствии с п.7 ст. 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Предельный срок представления налогового расчета по авансовому платежу по налогу на имущество организаций за 1 квартал 2018 года не позднее 03.05.2018 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налоговый расчет по авансовому платежу по налогу на имущество организаций за 1 квартал 2018 года представлен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.2018 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п.2, ст. 386 Налогового кодекса Российской Федерации, </w:t>
      </w:r>
      <w:r>
        <w:rPr>
          <w:rFonts w:ascii="Times New Roman" w:eastAsia="Times New Roman" w:hAnsi="Times New Roman" w:cs="Times New Roman"/>
        </w:rPr>
        <w:t>главой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2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не обеспечено 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а именно налогового </w:t>
      </w:r>
      <w:r>
        <w:rPr>
          <w:rFonts w:ascii="Times New Roman" w:eastAsia="Times New Roman" w:hAnsi="Times New Roman" w:cs="Times New Roman"/>
        </w:rPr>
        <w:t>расчета</w:t>
      </w:r>
      <w:r>
        <w:rPr>
          <w:rFonts w:ascii="Times New Roman" w:eastAsia="Times New Roman" w:hAnsi="Times New Roman" w:cs="Times New Roman"/>
        </w:rPr>
        <w:t xml:space="preserve"> но авансовому платежу по налогу на имущество организаций за 1 квартал 2018 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 состоянию на 03.05.2018 г. </w:t>
      </w:r>
      <w:r>
        <w:rPr>
          <w:rFonts w:ascii="Times New Roman" w:eastAsia="Times New Roman" w:hAnsi="Times New Roman" w:cs="Times New Roman"/>
        </w:rPr>
        <w:t xml:space="preserve">главный бухгалтер, иное </w:t>
      </w:r>
      <w:r>
        <w:rPr>
          <w:rFonts w:ascii="Times New Roman" w:eastAsia="Times New Roman" w:hAnsi="Times New Roman" w:cs="Times New Roman"/>
        </w:rPr>
        <w:t>должностное</w:t>
      </w:r>
      <w:r>
        <w:rPr>
          <w:rFonts w:ascii="Times New Roman" w:eastAsia="Times New Roman" w:hAnsi="Times New Roman" w:cs="Times New Roman"/>
        </w:rPr>
        <w:t xml:space="preserve"> лицо, на которое возложены обязанности по предоставлению в налоговой орган налоговых деклараций на предприяти</w:t>
      </w:r>
      <w:r>
        <w:rPr>
          <w:rFonts w:ascii="Times New Roman" w:eastAsia="Times New Roman" w:hAnsi="Times New Roman" w:cs="Times New Roman"/>
        </w:rPr>
        <w:t xml:space="preserve">и, отсутствовали.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что подтверждается </w:t>
      </w:r>
      <w:r>
        <w:rPr>
          <w:rFonts w:ascii="Times New Roman" w:eastAsia="Times New Roman" w:hAnsi="Times New Roman" w:cs="Times New Roman"/>
        </w:rPr>
        <w:t>сведениями</w:t>
      </w:r>
      <w:r>
        <w:rPr>
          <w:rFonts w:ascii="Times New Roman" w:eastAsia="Times New Roman" w:hAnsi="Times New Roman" w:cs="Times New Roman"/>
        </w:rPr>
        <w:t xml:space="preserve"> о юридическом лице выданными из Единого государственного реестра юридических лиц </w:t>
      </w:r>
      <w:r>
        <w:rPr>
          <w:rFonts w:ascii="Times New Roman" w:eastAsia="Times New Roman" w:hAnsi="Times New Roman" w:cs="Times New Roman"/>
        </w:rPr>
        <w:t>по состоянию на 23.11.2018г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ч.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1 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15.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распечаткой из АИС Налог, подтверждением даты отправки, квитанцией о приеме налоговой декларации (расчета) в электронном виде, </w:t>
      </w:r>
      <w:r>
        <w:rPr>
          <w:rFonts w:ascii="Times New Roman" w:eastAsia="Times New Roman" w:hAnsi="Times New Roman" w:cs="Times New Roman"/>
        </w:rPr>
        <w:t>сведениями</w:t>
      </w:r>
      <w:r>
        <w:rPr>
          <w:rFonts w:ascii="Times New Roman" w:eastAsia="Times New Roman" w:hAnsi="Times New Roman" w:cs="Times New Roman"/>
        </w:rPr>
        <w:t xml:space="preserve"> о юридическом лице выданными из Единого государственного реестра юридических лиц по состоянию на 23.11.2018г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 28.2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ч.1 ст.15.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6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правильно квалифицированы по ч.1 ст.15.6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 соответствии со ст. 4.2 КоАП РФ, миров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Style w:val="cat-FIOgrp-17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Учитывая изложенное, суд считает необходимым назначить </w:t>
      </w:r>
      <w:r>
        <w:rPr>
          <w:rStyle w:val="cat-FIOgrp-16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ч.1ст.4.1.1 КоАП РФ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</w:t>
      </w:r>
      <w:r>
        <w:rPr>
          <w:rFonts w:ascii="Times New Roman" w:eastAsia="Times New Roman" w:hAnsi="Times New Roman" w:cs="Times New Roman"/>
        </w:rPr>
        <w:t xml:space="preserve">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сведениям из Единого государственного реестра субъектов малого и среднего предпринимательства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.12.2018 </w:t>
      </w:r>
      <w:r>
        <w:rPr>
          <w:rStyle w:val="cat-OrganizationNamegrp-22rplc-4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относится к категории субъектов малого или среднего предпринимательства.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Назначение административного наказания в виде предупреждения не предусмотрено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15.6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КоАП РФ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Учитывая, что согласно протоколу об административном правонарушении </w:t>
      </w:r>
      <w:r>
        <w:rPr>
          <w:rStyle w:val="cat-FIOgrp-16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впервые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>административное правонарушение, принимая во внимание незначительность пропущенного лицом срока подачи отчета по застрахованным лицам,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</w:t>
      </w:r>
      <w:r>
        <w:rPr>
          <w:rFonts w:ascii="Times New Roman" w:eastAsia="Times New Roman" w:hAnsi="Times New Roman" w:cs="Times New Roman"/>
        </w:rPr>
        <w:t xml:space="preserve"> природного и техногенного характера, а также отсутствие имущественного ущерба, мировой судья полагает возможным применить положение ст.4.1.1 КоАП РФ и заменить наказание в виде административного штрафа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и руководствуясь ст.4.1.1, ч.1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15.6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, 29.10 КоАП РФ, мировой судья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главу Крестьянского (фермерского) хозяйства «Хлебное» </w:t>
      </w:r>
      <w:r>
        <w:rPr>
          <w:rStyle w:val="cat-FIOgrp-15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15.6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РФ, и назначить ему наказание в виде предупреждения.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В.В. Просолов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5rplc-4">
    <w:name w:val="cat-FIO grp-15 rplc-4"/>
    <w:basedOn w:val="DefaultParagraphFont"/>
  </w:style>
  <w:style w:type="character" w:customStyle="1" w:styleId="cat-ExternalSystemDefinedgrp-23rplc-5">
    <w:name w:val="cat-ExternalSystemDefined grp-23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OrganizationNamegrp-22rplc-19">
    <w:name w:val="cat-OrganizationName grp-22 rplc-19"/>
    <w:basedOn w:val="DefaultParagraphFont"/>
  </w:style>
  <w:style w:type="character" w:customStyle="1" w:styleId="cat-OrganizationNamegrp-22rplc-20">
    <w:name w:val="cat-OrganizationName grp-22 rplc-20"/>
    <w:basedOn w:val="DefaultParagraphFont"/>
  </w:style>
  <w:style w:type="character" w:customStyle="1" w:styleId="cat-OrganizationNamegrp-22rplc-27">
    <w:name w:val="cat-OrganizationName grp-22 rplc-27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6rplc-42">
    <w:name w:val="cat-FIO grp-16 rplc-42"/>
    <w:basedOn w:val="DefaultParagraphFont"/>
  </w:style>
  <w:style w:type="character" w:customStyle="1" w:styleId="cat-OrganizationNamegrp-22rplc-45">
    <w:name w:val="cat-OrganizationName grp-22 rplc-45"/>
    <w:basedOn w:val="DefaultParagraphFont"/>
  </w:style>
  <w:style w:type="character" w:customStyle="1" w:styleId="cat-FIOgrp-16rplc-46">
    <w:name w:val="cat-FIO grp-16 rplc-46"/>
    <w:basedOn w:val="DefaultParagraphFont"/>
  </w:style>
  <w:style w:type="character" w:customStyle="1" w:styleId="cat-FIOgrp-15rplc-47">
    <w:name w:val="cat-FIO grp-15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