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</w:t>
      </w:r>
      <w:r>
        <w:rPr>
          <w:rFonts w:ascii="Times New Roman" w:eastAsia="Times New Roman" w:hAnsi="Times New Roman" w:cs="Times New Roman"/>
          <w:sz w:val="28"/>
          <w:szCs w:val="28"/>
        </w:rPr>
        <w:t>8217</w:t>
      </w:r>
      <w:r>
        <w:rPr>
          <w:rFonts w:ascii="Times New Roman" w:eastAsia="Times New Roman" w:hAnsi="Times New Roman" w:cs="Times New Roman"/>
          <w:sz w:val="28"/>
          <w:szCs w:val="28"/>
        </w:rPr>
        <w:t>0001158846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UserDefinedgrp-2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смягчающее 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UserDefinedgrp-2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 следующим реквизитам: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</w:t>
      </w:r>
      <w:r>
        <w:rPr>
          <w:rFonts w:ascii="Times New Roman" w:eastAsia="Times New Roman" w:hAnsi="Times New Roman" w:cs="Times New Roman"/>
          <w:sz w:val="28"/>
          <w:szCs w:val="28"/>
        </w:rPr>
        <w:t>чета получателя 401018103351000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10001, ИНН налогового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043510001, код бюджетной классификации КБК </w:t>
      </w:r>
      <w:r>
        <w:rPr>
          <w:rFonts w:ascii="Times New Roman" w:eastAsia="Times New Roman" w:hAnsi="Times New Roman" w:cs="Times New Roman"/>
          <w:sz w:val="28"/>
          <w:szCs w:val="28"/>
        </w:rPr>
        <w:t>188116</w:t>
      </w:r>
      <w:r>
        <w:rPr>
          <w:rFonts w:ascii="Times New Roman" w:eastAsia="Times New Roman" w:hAnsi="Times New Roman" w:cs="Times New Roman"/>
          <w:sz w:val="28"/>
          <w:szCs w:val="28"/>
        </w:rPr>
        <w:t>43000016000140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049118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3760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