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0079-01-2021-00</w:t>
      </w:r>
      <w:r>
        <w:rPr>
          <w:rFonts w:ascii="Times New Roman" w:eastAsia="Times New Roman" w:hAnsi="Times New Roman" w:cs="Times New Roman"/>
        </w:rPr>
        <w:t>1862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04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Рената </w:t>
      </w:r>
      <w:r>
        <w:rPr>
          <w:rFonts w:ascii="Times New Roman" w:eastAsia="Times New Roman" w:hAnsi="Times New Roman" w:cs="Times New Roman"/>
        </w:rPr>
        <w:t>Усеиновича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 2 ст. 12.2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07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сентября</w:t>
      </w:r>
      <w:r>
        <w:rPr>
          <w:b w:val="0"/>
          <w:bCs w:val="0"/>
          <w:i w:val="0"/>
          <w:sz w:val="24"/>
          <w:szCs w:val="24"/>
        </w:rPr>
        <w:t xml:space="preserve"> 202</w:t>
      </w:r>
      <w:r>
        <w:rPr>
          <w:b w:val="0"/>
          <w:bCs w:val="0"/>
          <w:i w:val="0"/>
          <w:sz w:val="24"/>
          <w:szCs w:val="24"/>
        </w:rPr>
        <w:t>2</w:t>
      </w:r>
      <w:r>
        <w:rPr>
          <w:b w:val="0"/>
          <w:bCs w:val="0"/>
          <w:i w:val="0"/>
          <w:sz w:val="24"/>
          <w:szCs w:val="24"/>
        </w:rPr>
        <w:t xml:space="preserve"> года в 1</w:t>
      </w:r>
      <w:r>
        <w:rPr>
          <w:b w:val="0"/>
          <w:bCs w:val="0"/>
          <w:i w:val="0"/>
          <w:sz w:val="24"/>
          <w:szCs w:val="24"/>
        </w:rPr>
        <w:t>1</w:t>
      </w:r>
      <w:r>
        <w:rPr>
          <w:b w:val="0"/>
          <w:bCs w:val="0"/>
          <w:i w:val="0"/>
          <w:sz w:val="24"/>
          <w:szCs w:val="24"/>
        </w:rPr>
        <w:t xml:space="preserve"> часов </w:t>
      </w:r>
      <w:r>
        <w:rPr>
          <w:b w:val="0"/>
          <w:bCs w:val="0"/>
          <w:i w:val="0"/>
          <w:sz w:val="24"/>
          <w:szCs w:val="24"/>
        </w:rPr>
        <w:t>0</w:t>
      </w:r>
      <w:r>
        <w:rPr>
          <w:b w:val="0"/>
          <w:bCs w:val="0"/>
          <w:i w:val="0"/>
          <w:sz w:val="24"/>
          <w:szCs w:val="24"/>
        </w:rPr>
        <w:t xml:space="preserve">0 минут, водитель </w:t>
      </w:r>
      <w:r>
        <w:rPr>
          <w:b w:val="0"/>
          <w:bCs w:val="0"/>
          <w:i w:val="0"/>
          <w:sz w:val="24"/>
          <w:szCs w:val="24"/>
        </w:rPr>
        <w:t>Меметов</w:t>
      </w:r>
      <w:r>
        <w:rPr>
          <w:b w:val="0"/>
          <w:bCs w:val="0"/>
          <w:i w:val="0"/>
          <w:sz w:val="24"/>
          <w:szCs w:val="24"/>
        </w:rPr>
        <w:t xml:space="preserve"> Р.У</w:t>
      </w:r>
      <w:r>
        <w:rPr>
          <w:b w:val="0"/>
          <w:bCs w:val="0"/>
          <w:i w:val="0"/>
          <w:sz w:val="24"/>
          <w:szCs w:val="24"/>
        </w:rPr>
        <w:t xml:space="preserve">., управлял транспортным средством </w:t>
      </w:r>
      <w:r>
        <w:rPr>
          <w:b w:val="0"/>
          <w:bCs w:val="0"/>
          <w:i w:val="0"/>
          <w:sz w:val="24"/>
          <w:szCs w:val="24"/>
        </w:rPr>
        <w:t>ВАЗ</w:t>
      </w:r>
      <w:r>
        <w:rPr>
          <w:b w:val="0"/>
          <w:bCs w:val="0"/>
          <w:i w:val="0"/>
          <w:sz w:val="24"/>
          <w:szCs w:val="24"/>
        </w:rPr>
        <w:t xml:space="preserve">, вблизи дома </w:t>
      </w:r>
      <w:r>
        <w:rPr>
          <w:rStyle w:val="cat-UserDefinedgrp-29rplc-15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>,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без установленн</w:t>
      </w:r>
      <w:r>
        <w:rPr>
          <w:b w:val="0"/>
          <w:bCs w:val="0"/>
          <w:i w:val="0"/>
          <w:sz w:val="24"/>
          <w:szCs w:val="24"/>
        </w:rPr>
        <w:t>ых</w:t>
      </w:r>
      <w:r>
        <w:rPr>
          <w:b w:val="0"/>
          <w:bCs w:val="0"/>
          <w:i w:val="0"/>
          <w:sz w:val="24"/>
          <w:szCs w:val="24"/>
        </w:rPr>
        <w:t xml:space="preserve"> на предусмотренн</w:t>
      </w:r>
      <w:r>
        <w:rPr>
          <w:b w:val="0"/>
          <w:bCs w:val="0"/>
          <w:i w:val="0"/>
          <w:sz w:val="24"/>
          <w:szCs w:val="24"/>
        </w:rPr>
        <w:t>ых</w:t>
      </w:r>
      <w:r>
        <w:rPr>
          <w:b w:val="0"/>
          <w:bCs w:val="0"/>
          <w:i w:val="0"/>
          <w:sz w:val="24"/>
          <w:szCs w:val="24"/>
        </w:rPr>
        <w:t xml:space="preserve"> для этого мест</w:t>
      </w:r>
      <w:r>
        <w:rPr>
          <w:b w:val="0"/>
          <w:bCs w:val="0"/>
          <w:i w:val="0"/>
          <w:sz w:val="24"/>
          <w:szCs w:val="24"/>
        </w:rPr>
        <w:t>ах</w:t>
      </w:r>
      <w:r>
        <w:rPr>
          <w:b w:val="0"/>
          <w:bCs w:val="0"/>
          <w:i w:val="0"/>
          <w:sz w:val="24"/>
          <w:szCs w:val="24"/>
        </w:rPr>
        <w:t xml:space="preserve"> государственн</w:t>
      </w:r>
      <w:r>
        <w:rPr>
          <w:b w:val="0"/>
          <w:bCs w:val="0"/>
          <w:i w:val="0"/>
          <w:sz w:val="24"/>
          <w:szCs w:val="24"/>
        </w:rPr>
        <w:t>ых</w:t>
      </w:r>
      <w:r>
        <w:rPr>
          <w:b w:val="0"/>
          <w:bCs w:val="0"/>
          <w:i w:val="0"/>
          <w:sz w:val="24"/>
          <w:szCs w:val="24"/>
        </w:rPr>
        <w:t xml:space="preserve"> регистрационн</w:t>
      </w:r>
      <w:r>
        <w:rPr>
          <w:b w:val="0"/>
          <w:bCs w:val="0"/>
          <w:i w:val="0"/>
          <w:sz w:val="24"/>
          <w:szCs w:val="24"/>
        </w:rPr>
        <w:t>ых</w:t>
      </w:r>
      <w:r>
        <w:rPr>
          <w:b w:val="0"/>
          <w:bCs w:val="0"/>
          <w:i w:val="0"/>
          <w:sz w:val="24"/>
          <w:szCs w:val="24"/>
        </w:rPr>
        <w:t xml:space="preserve"> знак</w:t>
      </w:r>
      <w:r>
        <w:rPr>
          <w:b w:val="0"/>
          <w:bCs w:val="0"/>
          <w:i w:val="0"/>
          <w:sz w:val="24"/>
          <w:szCs w:val="24"/>
        </w:rPr>
        <w:t>ов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правонарушения не отрицал, с протоколом об административном правонарушении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2 ст. 12.2 КоАП РФ предусматривает административную ответственность за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Р.У.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154915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18810082220000260771 от 07.09.2022, 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правонарушении 1881008222000026077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07.09.2022, </w:t>
      </w:r>
      <w:r>
        <w:rPr>
          <w:rFonts w:ascii="Times New Roman" w:eastAsia="Times New Roman" w:hAnsi="Times New Roman" w:cs="Times New Roman"/>
        </w:rPr>
        <w:t>фотокопиями транспортного средства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информацией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квалифицирует действия лица, в отношении которого ведется производство по делу об административном правонарушении, по ч. 2 ст. 12.2 КоАП РФ, как</w:t>
      </w:r>
      <w:r>
        <w:rPr>
          <w:rFonts w:ascii="Times New Roman" w:eastAsia="Times New Roman" w:hAnsi="Times New Roman" w:cs="Times New Roman"/>
        </w:rPr>
        <w:t xml:space="preserve">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Меметов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Р.У.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Р.У.</w:t>
      </w:r>
      <w:r>
        <w:rPr>
          <w:rFonts w:ascii="Times New Roman" w:eastAsia="Times New Roman" w:hAnsi="Times New Roman" w:cs="Times New Roman"/>
        </w:rPr>
        <w:t xml:space="preserve"> судьей признается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 ч. 2,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Меметова</w:t>
      </w:r>
      <w:r>
        <w:rPr>
          <w:rFonts w:ascii="Times New Roman" w:eastAsia="Times New Roman" w:hAnsi="Times New Roman" w:cs="Times New Roman"/>
        </w:rPr>
        <w:t xml:space="preserve"> Рената </w:t>
      </w:r>
      <w:r>
        <w:rPr>
          <w:rFonts w:ascii="Times New Roman" w:eastAsia="Times New Roman" w:hAnsi="Times New Roman" w:cs="Times New Roman"/>
        </w:rPr>
        <w:t>Усеиновича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1rplc-3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>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>
        <w:rPr>
          <w:rFonts w:ascii="Times New Roman" w:eastAsia="Times New Roman" w:hAnsi="Times New Roman" w:cs="Times New Roman"/>
          <w:b/>
          <w:bCs/>
        </w:rPr>
        <w:t>сумма административного штрафа вносится или перечисляется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