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481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</w:t>
      </w:r>
      <w:r>
        <w:rPr>
          <w:rFonts w:ascii="Times New Roman" w:eastAsia="Times New Roman" w:hAnsi="Times New Roman" w:cs="Times New Roman"/>
        </w:rPr>
        <w:t>2071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38rplc-6"/>
          <w:rFonts w:ascii="Times New Roman" w:eastAsia="Times New Roman" w:hAnsi="Times New Roman" w:cs="Times New Roman"/>
          <w:b/>
          <w:bCs/>
        </w:rPr>
        <w:t>Хавкуна Е.А.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административный штраф в размере 5</w:t>
      </w:r>
      <w:r>
        <w:rPr>
          <w:rFonts w:ascii="Times New Roman" w:eastAsia="Times New Roman" w:hAnsi="Times New Roman" w:cs="Times New Roman"/>
        </w:rPr>
        <w:t xml:space="preserve">00,00 руб., наложенный </w:t>
      </w:r>
      <w:r>
        <w:rPr>
          <w:rFonts w:ascii="Times New Roman" w:eastAsia="Times New Roman" w:hAnsi="Times New Roman" w:cs="Times New Roman"/>
        </w:rPr>
        <w:t>постановлением №</w:t>
      </w:r>
      <w:r>
        <w:rPr>
          <w:rFonts w:ascii="Times New Roman" w:eastAsia="Times New Roman" w:hAnsi="Times New Roman" w:cs="Times New Roman"/>
        </w:rPr>
        <w:t>18810589230803001078 от 03.08.2023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.2023, отсрочка или рассрочка исполнения постановления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обстоятельствами, изложенными в протоколе, согласился</w:t>
      </w:r>
      <w:r>
        <w:rPr>
          <w:rFonts w:ascii="Times New Roman" w:eastAsia="Times New Roman" w:hAnsi="Times New Roman" w:cs="Times New Roman"/>
        </w:rPr>
        <w:t>, суду пояснил, что автомобиль продал, однако с регистрации еще не снял, транспортное средство на сегодняшний день числится за ним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ыслушав </w:t>
      </w: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№18810589230803001078 от 03.08.2023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.2023 года, копией постановления </w:t>
      </w:r>
      <w:r>
        <w:rPr>
          <w:rFonts w:ascii="Times New Roman" w:eastAsia="Times New Roman" w:hAnsi="Times New Roman" w:cs="Times New Roman"/>
        </w:rPr>
        <w:t>№18810589230803001078 от 03.08.2023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</w:rPr>
        <w:t>штрафа в размере 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Хавкун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39"/>
          <w:rFonts w:ascii="Times New Roman" w:eastAsia="Times New Roman" w:hAnsi="Times New Roman" w:cs="Times New Roman"/>
          <w:b/>
          <w:bCs/>
        </w:rPr>
        <w:t>Хавкуна Е.А.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9rplc-4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9rplc-43">
    <w:name w:val="cat-UserDefined grp-3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