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429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</w:t>
      </w:r>
      <w:r>
        <w:rPr>
          <w:rFonts w:ascii="Times New Roman" w:eastAsia="Times New Roman" w:hAnsi="Times New Roman" w:cs="Times New Roman"/>
          <w:sz w:val="26"/>
          <w:szCs w:val="26"/>
        </w:rPr>
        <w:t>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Виктора Викторовича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Style w:val="cat-UserDefinedgrp-36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Style w:val="cat-UserDefinedgrp-24rplc-1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7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 требования п. 2.1.1 ПДД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4rplc-2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8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>, просил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174228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№ 5-55-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мирового судьи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№ 5-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>лишен права управления транспортными средствами на срок один год шесть месяцев;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 042629 от 08.11.2022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протокола 61 АК 625129 от 08.11.2022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лицу, привлекаемому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лишенным права управления транспортным средством.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,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Ничипорчук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Виктора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4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получателя платежа: </w:t>
      </w:r>
      <w:r>
        <w:rPr>
          <w:rStyle w:val="cat-UserDefinedgrp-34rplc-50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ст. 32.2 КРФ об АП административный штраф должен быть уплачен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не позднее шестидесяти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4rplc-50">
    <w:name w:val="cat-UserDefined grp-3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