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522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38rplc-6"/>
          <w:rFonts w:ascii="Times New Roman" w:eastAsia="Times New Roman" w:hAnsi="Times New Roman" w:cs="Times New Roman"/>
          <w:b/>
          <w:bCs/>
        </w:rPr>
        <w:t>Камалиева Р.Р.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00,00 руб., наложенный </w:t>
      </w:r>
      <w:r>
        <w:rPr>
          <w:rFonts w:ascii="Times New Roman" w:eastAsia="Times New Roman" w:hAnsi="Times New Roman" w:cs="Times New Roman"/>
        </w:rPr>
        <w:t>постановлением №</w:t>
      </w:r>
      <w:r>
        <w:rPr>
          <w:rFonts w:ascii="Times New Roman" w:eastAsia="Times New Roman" w:hAnsi="Times New Roman" w:cs="Times New Roman"/>
        </w:rPr>
        <w:t>18810082230000647780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.2023, отсрочка или рассрочка исполнения постановления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с обстоятельствами, изложенными в протоколе, согласился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постановления от 05.09.2023 на сайте ГИБДД не было, </w:t>
      </w:r>
      <w:r>
        <w:rPr>
          <w:rFonts w:ascii="Times New Roman" w:eastAsia="Times New Roman" w:hAnsi="Times New Roman" w:cs="Times New Roman"/>
        </w:rPr>
        <w:t>ждал</w:t>
      </w:r>
      <w:r>
        <w:rPr>
          <w:rFonts w:ascii="Times New Roman" w:eastAsia="Times New Roman" w:hAnsi="Times New Roman" w:cs="Times New Roman"/>
        </w:rPr>
        <w:t xml:space="preserve"> когда опубликуют указанное постановление, так как все штрафы оплачивает через 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>, в настоящее время штраф оплачен, в подтверждение предоставил квитанцию от 21.12.2023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ыслушав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18810082230000647780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 года, копией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18810082230000647780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Камалиев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40"/>
          <w:rFonts w:ascii="Times New Roman" w:eastAsia="Times New Roman" w:hAnsi="Times New Roman" w:cs="Times New Roman"/>
          <w:b/>
          <w:bCs/>
        </w:rPr>
        <w:t>Камалиева Р.Р.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6rplc-44">
    <w:name w:val="cat-UserDefined grp-3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