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221 июля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Котляровой </w:t>
      </w:r>
      <w:r>
        <w:rPr>
          <w:rStyle w:val="cat-UserDefinedgrp-26rplc-5"/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Котлярова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19.06.2020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UserDefinedgrp-28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телефону «102» и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заведомо ложный вызов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сообщила заведомо ложные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нее побоев.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сообщение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приезду полиции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информация не подтвердилась.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дате и месте рассмотрения данного дела об административном правонарушении извещена надлежащим образом.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объяснениями правонарушителя, объяснениями свид</w:t>
      </w:r>
      <w:r>
        <w:rPr>
          <w:rFonts w:ascii="Times New Roman" w:eastAsia="Times New Roman" w:hAnsi="Times New Roman" w:cs="Times New Roman"/>
          <w:sz w:val="28"/>
          <w:szCs w:val="28"/>
        </w:rPr>
        <w:t>етелей, рапортом работника ОМВД.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Котляровой Е.А.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29.7,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–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Котляров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20.21 КоАП РФ и подвергнуть административному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00,00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center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5">
    <w:name w:val="cat-UserDefined grp-26 rplc-5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4">
    <w:name w:val="cat-UserDefined grp-3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