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0011-01-2019-001076-75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5-56-185/2019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28 июня 2019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14.16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Щёчки </w:t>
      </w:r>
      <w:r>
        <w:rPr>
          <w:rStyle w:val="cat-UserDefinedgrp-37rplc-7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Щечка А.С. 23 марта 2019 года в 09 часов 55 минут в магазине </w:t>
      </w:r>
      <w:r>
        <w:rPr>
          <w:rStyle w:val="cat-UserDefinedgrp-39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осуществила розничную продажу пивного напитка </w:t>
      </w:r>
      <w:r>
        <w:rPr>
          <w:rStyle w:val="cat-UserDefinedgrp-40rplc-2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содержанием алкоголя 6,9 %, чем нарушила ч. 1 ст. 6.3 Закона Республики Крым от 17 июня 2015 года № 117-ЗРК «Об административных правонарушениях»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9 ст.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Щечка А.С. вину признала и пояснила, в магазине ИП «</w:t>
      </w:r>
      <w:r>
        <w:rPr>
          <w:rFonts w:ascii="Times New Roman" w:eastAsia="Times New Roman" w:hAnsi="Times New Roman" w:cs="Times New Roman"/>
          <w:sz w:val="28"/>
          <w:szCs w:val="28"/>
        </w:rPr>
        <w:t>Гошовский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работает с 23 марта 2018 года. Через год, то есть 23 марта 2019 года, она продала слабоалкогольный напиток за пять минут до окончания срока, запрещенного для продажи алкогольной и спиртосодержащей продукции. При этом она глянула на часы, однако, поскольку последние были прикрыты цветком, то ей показалось, что уже было 10 часов.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Просила прекратить производство по делу за малозначительностью деяния и назначить ей наказание в виде предупреждения или устного замечания, ссылаясь на то, что она является работником лица, осуществляющего предпринимательскую деятельность без образования юридического лица, являющегося субъектом малого и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t>предпрпнимательства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допущено впервые по причинам невнимательности, неосторожности и неопытности, а также указывая на то, что она ранее к административной и уголовной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привлекалась, по делу имеется смягчающее административную ответственность обстоятельство – раскаяние.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Щечки А.С. в совершении административного правонарушения, предусмотренного ч. 3 ст. 14.16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9 ст.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ограничении потребления (распития) алкогольной продукции» </w:t>
      </w:r>
      <w:hyperlink r:id="rId4" w:anchor="dst1001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>
        <w:rPr>
          <w:rFonts w:ascii="Times New Roman" w:eastAsia="Times New Roman" w:hAnsi="Times New Roman" w:cs="Times New Roman"/>
          <w:sz w:val="28"/>
          <w:szCs w:val="28"/>
        </w:rPr>
        <w:t>пуаре</w:t>
      </w:r>
      <w:r>
        <w:rPr>
          <w:rFonts w:ascii="Times New Roman" w:eastAsia="Times New Roman" w:hAnsi="Times New Roman" w:cs="Times New Roman"/>
          <w:sz w:val="28"/>
          <w:szCs w:val="28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sz w:val="28"/>
          <w:szCs w:val="28"/>
        </w:rPr>
        <w:t>, и розничной продажи алкогольной продукции, осуществляемой в магазинах беспошлинной торговли.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 вправе устанавливать дополнительные </w:t>
      </w:r>
      <w:hyperlink r:id="rId5" w:anchor="dst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ограничения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6.3 Закона Республики Крым от 17 июня 2015 года № 117-ЗРК «Об административных правонарушениях» устанавливает запрет на розничную продажу алкогольной продукции с 08 до 10 часов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местному времени, за исключением розничной продажи алкогольной продукции, осуществляемой организациями, и розничной продажи пива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пивных напитков, сидра, </w:t>
      </w:r>
      <w:r>
        <w:rPr>
          <w:rFonts w:ascii="Times New Roman" w:eastAsia="Times New Roman" w:hAnsi="Times New Roman" w:cs="Times New Roman"/>
          <w:sz w:val="28"/>
          <w:szCs w:val="28"/>
        </w:rPr>
        <w:t>пуаре</w:t>
      </w:r>
      <w:r>
        <w:rPr>
          <w:rFonts w:ascii="Times New Roman" w:eastAsia="Times New Roman" w:hAnsi="Times New Roman" w:cs="Times New Roman"/>
          <w:sz w:val="28"/>
          <w:szCs w:val="28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питания, а также розничной продажи алкогольной продукции, осуществляемой магазинами беспошлинной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административном правонарушении № </w:t>
      </w:r>
      <w:r>
        <w:rPr>
          <w:rStyle w:val="cat-UserDefinedgrp-41rplc-3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апреля 2019 года указаны обстоятельства совершения Щечкой А.С. правонарушения, в том числе имеется собственноручная запись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объяснениям свидетелей Юрку О.Р. и </w:t>
      </w:r>
      <w:r>
        <w:rPr>
          <w:rFonts w:ascii="Times New Roman" w:eastAsia="Times New Roman" w:hAnsi="Times New Roman" w:cs="Times New Roman"/>
          <w:sz w:val="28"/>
          <w:szCs w:val="28"/>
        </w:rPr>
        <w:t>Литвинюк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они 23 марта 2019 года примерно в 09 часов 50 минут зашли в магазин </w:t>
      </w:r>
      <w:r>
        <w:rPr>
          <w:rStyle w:val="cat-UserDefinedgrp-42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Юрку О.Р. приобрела слабоалкогольный напиток </w:t>
      </w:r>
      <w:r>
        <w:rPr>
          <w:rStyle w:val="cat-UserDefinedgrp-40rplc-4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содержанием алкоголя 6,9 %. Зная о запрете на продажу алкогольных напитков с 08 до 10 часов, Юрку О.Р. информировала об этом сотрудников полиции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7, 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Щечки А.С. </w:t>
      </w:r>
      <w:r>
        <w:rPr>
          <w:rFonts w:ascii="Times New Roman" w:eastAsia="Times New Roman" w:hAnsi="Times New Roman" w:cs="Times New Roman"/>
          <w:sz w:val="28"/>
          <w:szCs w:val="28"/>
        </w:rPr>
        <w:t>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14.16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особых требований и правил розничной продажи алкогольной и спиртосодержащей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4.1.1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 ч. 2 этой статьи.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3.4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законодательства, норм и правил в регулируемой области.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в данном случае положений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усматривается, поскольку из материалов дела не следует, что имеются условия, предусмотренные ч. 2 ст. 3.4 КоАП РФ, в части отсутствия угрозы причинения вреда интересам государства.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Тот факт, что 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Гошовский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В.Р., у которого работает Щечка А.С.,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и среднего предпринимательства в силу ч. 1 ст. 4 Федерального закона от 24 июля 2007 года № 209-ФЗ «О развитии малого и среднего предпринимательства в Российской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Щечка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привлекается к административной ответственности впервые, не является безусловным 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применения положений ст. 4.1.1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Объектом преступного посягательства в данном случае являются общественные отношения в сфере оборота алкогольной продукции.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Объектом охраны являются интересы государства в стабильности внутреннего рынка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сфере оборота этилового спирта, алкогольной и спиртосодержащей продукции и реализации единой государственной политики в данной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суд не может признать совершенное Щечкой А.С. деяние малозначительным в соответствии с положениями ст. 2.9 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едерации, как об этом просит последняя, поскольку не будет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принципам законности, справедливости, неотвратимости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Щечкой А.С. обстоятельства учитываются судом при назначении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снований для прекращения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учитывает характер совершенного правонарушения, конкретные обстоятельства дела,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ранее к административной ответственности не привлекалась, ее возраст, семейное и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Щечкой А.С. </w:t>
      </w:r>
      <w:r>
        <w:rPr>
          <w:rFonts w:ascii="Times New Roman" w:eastAsia="Times New Roman" w:hAnsi="Times New Roman" w:cs="Times New Roman"/>
          <w:sz w:val="28"/>
          <w:szCs w:val="28"/>
        </w:rPr>
        <w:t>вины в совершенном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раскаяние в содеянном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ответственность,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смягчающих ответственность обстоятельств и отсутствием отягчающих обстоятельств, суд полагает, что наказание в виде штрафа в минимальном размере, предусмотренном санкцией ч. 3 ст. 14.16 КоАП Российской Федерации обеспечит достижение задач и целей административного наказания. Принимая во внимание конкретные обстоятельства дела, отсутствие отягчающих обстоятельств и негативных последствий суд полагает возможным не применять дополнительный вид административного наказания в виде конфискации алкогольной и спиртосодержащей продукции.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Щёчку </w:t>
      </w:r>
      <w:r>
        <w:rPr>
          <w:rStyle w:val="cat-UserDefinedgrp-43rplc-56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 3 ст. 14.16 КоАП Российской Федерации, и назначить ей административное наказание в виде административного штрафа в размере 20 000 (двадцати тысяч) рублей без конфискации алкогольной и спиртосодержащей продукции.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44rplc-5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Щечке А.С.,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56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мотивированного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постановления оглашена 25 июня 2019 года.</w:t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p>
      <w:pPr>
        <w:spacing w:before="0" w:after="0" w:line="280" w:lineRule="atLeast"/>
        <w:ind w:firstLine="708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32">
    <w:name w:val="cat-UserDefined grp-41 rplc-32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UserDefinedgrp-43rplc-56">
    <w:name w:val="cat-UserDefined grp-43 rplc-56"/>
    <w:basedOn w:val="DefaultParagraphFont"/>
  </w:style>
  <w:style w:type="character" w:customStyle="1" w:styleId="cat-UserDefinedgrp-44rplc-59">
    <w:name w:val="cat-UserDefined grp-44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4357/" TargetMode="External" /><Relationship Id="rId5" Type="http://schemas.openxmlformats.org/officeDocument/2006/relationships/hyperlink" Target="http://www.consultant.ru/document/cons_doc_LAW_281780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