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643E4B">
        <w:rPr>
          <w:sz w:val="28"/>
          <w:szCs w:val="28"/>
        </w:rPr>
        <w:t>288</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13 июня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643E4B">
        <w:rPr>
          <w:sz w:val="28"/>
          <w:szCs w:val="28"/>
        </w:rPr>
        <w:t>05.06</w:t>
      </w:r>
      <w:r w:rsidR="00A85263">
        <w:rPr>
          <w:sz w:val="28"/>
          <w:szCs w:val="28"/>
        </w:rPr>
        <w:t>.2024</w:t>
      </w:r>
      <w:r w:rsidRPr="003F24DE" w:rsidR="0090419C">
        <w:rPr>
          <w:sz w:val="28"/>
          <w:szCs w:val="28"/>
        </w:rPr>
        <w:t xml:space="preserve"> года </w:t>
      </w:r>
      <w:r w:rsidR="007D32AA">
        <w:rPr>
          <w:sz w:val="28"/>
          <w:szCs w:val="28"/>
        </w:rPr>
        <w:t>2</w:t>
      </w:r>
      <w:r w:rsidR="00643E4B">
        <w:rPr>
          <w:sz w:val="28"/>
          <w:szCs w:val="28"/>
        </w:rPr>
        <w:t>2</w:t>
      </w:r>
      <w:r w:rsidRPr="003F24DE" w:rsidR="0090419C">
        <w:rPr>
          <w:sz w:val="28"/>
          <w:szCs w:val="28"/>
        </w:rPr>
        <w:t xml:space="preserve"> час. </w:t>
      </w:r>
      <w:r w:rsidR="00643E4B">
        <w:rPr>
          <w:sz w:val="28"/>
          <w:szCs w:val="28"/>
        </w:rPr>
        <w:t>2</w:t>
      </w:r>
      <w:r w:rsidR="00A85263">
        <w:rPr>
          <w:sz w:val="28"/>
          <w:szCs w:val="28"/>
        </w:rPr>
        <w:t>5</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643E4B">
        <w:rPr>
          <w:sz w:val="28"/>
          <w:szCs w:val="28"/>
        </w:rPr>
        <w:t>05.06</w:t>
      </w:r>
      <w:r w:rsidR="00A85263">
        <w:rPr>
          <w:sz w:val="28"/>
          <w:szCs w:val="28"/>
        </w:rPr>
        <w:t>.2024</w:t>
      </w:r>
      <w:r w:rsidRPr="003F24DE" w:rsidR="00DB40C0">
        <w:rPr>
          <w:sz w:val="28"/>
          <w:szCs w:val="28"/>
        </w:rPr>
        <w:t xml:space="preserve"> года в </w:t>
      </w:r>
      <w:r w:rsidR="007D32AA">
        <w:rPr>
          <w:sz w:val="28"/>
          <w:szCs w:val="28"/>
        </w:rPr>
        <w:t>2</w:t>
      </w:r>
      <w:r w:rsidR="00643E4B">
        <w:rPr>
          <w:sz w:val="28"/>
          <w:szCs w:val="28"/>
        </w:rPr>
        <w:t>2</w:t>
      </w:r>
      <w:r w:rsidRPr="003F24DE" w:rsidR="00DB40C0">
        <w:rPr>
          <w:sz w:val="28"/>
          <w:szCs w:val="28"/>
        </w:rPr>
        <w:t xml:space="preserve"> часа </w:t>
      </w:r>
      <w:r w:rsidR="00643E4B">
        <w:rPr>
          <w:sz w:val="28"/>
          <w:szCs w:val="28"/>
        </w:rPr>
        <w:t>2</w:t>
      </w:r>
      <w:r w:rsidR="00A85263">
        <w:rPr>
          <w:sz w:val="28"/>
          <w:szCs w:val="28"/>
        </w:rPr>
        <w:t xml:space="preserve">5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202904</w:t>
      </w:r>
      <w:r w:rsidRPr="003F24DE">
        <w:rPr>
          <w:sz w:val="28"/>
          <w:szCs w:val="28"/>
        </w:rPr>
        <w:t xml:space="preserve"> от </w:t>
      </w:r>
      <w:r w:rsidR="00643E4B">
        <w:rPr>
          <w:sz w:val="28"/>
          <w:szCs w:val="28"/>
        </w:rPr>
        <w:t>11.06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w:t>
      </w:r>
      <w:r w:rsidRPr="003F24DE">
        <w:rPr>
          <w:sz w:val="28"/>
          <w:szCs w:val="28"/>
        </w:rPr>
        <w:t xml:space="preserve">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w:t>
      </w:r>
      <w:r w:rsidRPr="003F24DE">
        <w:rPr>
          <w:sz w:val="28"/>
          <w:szCs w:val="28"/>
        </w:rPr>
        <w:t>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w:t>
      </w:r>
      <w:r w:rsidRPr="003F24DE">
        <w:rPr>
          <w:sz w:val="28"/>
          <w:szCs w:val="28"/>
        </w:rPr>
        <w:t>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230D4"/>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