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Е.А., рассмотрев 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Тымчишина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Тымчишин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В.Я. 27 декабря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доме 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 удара кулаком в область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причинил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телесные повреждения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кровоподтеков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испытал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 и страдания, что не повлекло последствий, указанных в ст. 115 УК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мчишин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В.Я. вину признал в полном объеме и пояснил, что 27 декабря 2021 года к его гражданской супруге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приехала в гости подруга со своим супругом. Распивали спиртные напитки. Он выпил немного водки. Он сказал своей супруге, что она «не </w:t>
      </w:r>
      <w:r>
        <w:rPr>
          <w:rFonts w:ascii="Times New Roman" w:eastAsia="Times New Roman" w:hAnsi="Times New Roman" w:cs="Times New Roman"/>
          <w:sz w:val="28"/>
          <w:szCs w:val="28"/>
        </w:rPr>
        <w:t>шалава</w:t>
      </w:r>
      <w:r>
        <w:rPr>
          <w:rFonts w:ascii="Times New Roman" w:eastAsia="Times New Roman" w:hAnsi="Times New Roman" w:cs="Times New Roman"/>
          <w:sz w:val="28"/>
          <w:szCs w:val="28"/>
        </w:rPr>
        <w:t>». Видимо, ей это не понравилось, потому что она нанесла ему две пощечины. Потом он выпил еще две стопки водки (примерно 100 г) и больше ничего не помнит.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>
        <w:rPr>
          <w:rStyle w:val="cat-UserDefinedgrp-24rplc-22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показала, что она проживала с </w:t>
      </w:r>
      <w:r>
        <w:rPr>
          <w:rFonts w:ascii="Times New Roman" w:eastAsia="Times New Roman" w:hAnsi="Times New Roman" w:cs="Times New Roman"/>
          <w:sz w:val="28"/>
          <w:szCs w:val="28"/>
        </w:rPr>
        <w:t>Тымчишиным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В.Я. в гражданском браке на протяжении пяти лет. Периодически </w:t>
      </w:r>
      <w:r>
        <w:rPr>
          <w:rFonts w:ascii="Times New Roman" w:eastAsia="Times New Roman" w:hAnsi="Times New Roman" w:cs="Times New Roman"/>
          <w:sz w:val="28"/>
          <w:szCs w:val="28"/>
        </w:rPr>
        <w:t>Тымчишин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В.Я. ее избивал. Причиной такого избиения всегда была беспочвенная ревность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его прощала. 27 декабря 2020 года к ней приехала подруга со своим мужем. По этому поводу организовали застолье с употреблением алкоголя. </w:t>
      </w:r>
      <w:r>
        <w:rPr>
          <w:rFonts w:ascii="Times New Roman" w:eastAsia="Times New Roman" w:hAnsi="Times New Roman" w:cs="Times New Roman"/>
          <w:sz w:val="28"/>
          <w:szCs w:val="28"/>
        </w:rPr>
        <w:t>Тымчишин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В.Я. вновь стал проявлять ревность и нанес два удара кулаком, отчего она потеряла сознание. В чувство ее привели работники скорой помощи. В течение длительного времени у нее болела челюсть.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Тымчишина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769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заявлению </w:t>
      </w:r>
      <w:r>
        <w:rPr>
          <w:rStyle w:val="cat-UserDefinedgrp-24rplc-30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просит привлечь к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Тымчишина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В.Я., который 27 декабря 2020 года примерно в 15 часов 00 минут причинил ей телесные повреждения, нанесся два удара правой рукой в область лица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4).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акта судебно-медицинского освидетельствования № 1 от 11 января 2021 года усматривается, что у </w:t>
      </w:r>
      <w:r>
        <w:rPr>
          <w:rStyle w:val="cat-UserDefinedgrp-24rplc-37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обнаружены следующие повреждения: на наружной поверхности левого плеча в средней трети синий кровоподтек неправильно-ов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льной формы размерами 0,5 х 0,5 см; в центре нижней челюсти синий кровоподтек неправильно-овальной формы размерами 5 х 4 см; на наружной поверхности правого коленного сустава синий кровоподтек неправильно-опальной формы 4 х 3 см;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наружной поверхности левого коленного сустава синий кровоподтек неправильно-опальной формы размерами 4 х 4 см. Обнаруженные у </w:t>
      </w:r>
      <w:r>
        <w:rPr>
          <w:rStyle w:val="cat-UserDefinedgrp-24rplc-39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телесные повреждения возникли от действия тупых твердых предметов, возможно, в срок 27 декабря 2020 года, не повлекли за собой кратковременного расстройства здоровья или незначительной стойкой утраты общей трудоспособности, расцениваются как повреждения, не причиняющие вред здоровью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17 – 18</w:t>
      </w:r>
      <w:r>
        <w:rPr>
          <w:rFonts w:ascii="Times New Roman" w:eastAsia="Times New Roman" w:hAnsi="Times New Roman" w:cs="Times New Roman"/>
          <w:sz w:val="28"/>
          <w:szCs w:val="28"/>
        </w:rPr>
        <w:t>). Аналогичные данные зафиксированы в судебно-медицинском заключении № 11 от 12 января 2021 года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19 – 20).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объяснениями свидетелей </w:t>
      </w:r>
      <w:r>
        <w:rPr>
          <w:rStyle w:val="cat-UserDefinedgrp-25rplc-43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UserDefinedgrp-26rplc-45"/>
          <w:rFonts w:ascii="Times New Roman" w:eastAsia="Times New Roman" w:hAnsi="Times New Roman" w:cs="Times New Roman"/>
          <w:sz w:val="28"/>
          <w:szCs w:val="28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 декабря 2020 года они находились в гостях у </w:t>
      </w:r>
      <w:r>
        <w:rPr>
          <w:rStyle w:val="cat-UserDefinedgrp-24rplc-48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употребляли спиртное. С ними находился сожитель последней. Через некоторое время </w:t>
      </w:r>
      <w:r>
        <w:rPr>
          <w:rStyle w:val="cat-UserDefinedgrp-24rplc-49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вышла со своим сожителем в соседнюю комнату. Услышав шум, пошли в ту же комнату и увидели, что </w:t>
      </w:r>
      <w:r>
        <w:rPr>
          <w:rStyle w:val="cat-UserDefinedgrp-24rplc-51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лежит на полу без сознания. Когда потерпевшая пришла в себя, она рассказала, что ее избил супруг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8, 9).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Тымчишина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причинение иных насильственных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ст. 115 УК Российской Федерации, если эти действия не содержат уголовно наказуемого деяния.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его материальное и семейное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раскаяние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признает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суд полагает возможным не назначать правонарушителю наказание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мнению суда,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учетом </w:t>
      </w:r>
      <w:r>
        <w:rPr>
          <w:rFonts w:ascii="Times New Roman" w:eastAsia="Times New Roman" w:hAnsi="Times New Roman" w:cs="Times New Roman"/>
          <w:sz w:val="28"/>
          <w:szCs w:val="28"/>
        </w:rPr>
        <w:t>конкретных обстоятельств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тяжелого материального положения,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на минимальный срок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санкцией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Тымчишина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55"/>
          <w:rFonts w:ascii="Times New Roman" w:eastAsia="Times New Roman" w:hAnsi="Times New Roman" w:cs="Times New Roman"/>
          <w:sz w:val="28"/>
          <w:szCs w:val="28"/>
        </w:rPr>
        <w:t>В.Я.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</w:t>
      </w:r>
      <w:r>
        <w:rPr>
          <w:rFonts w:ascii="Times New Roman" w:eastAsia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88"/>
        <w:gridCol w:w="4788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1rplc-5">
    <w:name w:val="cat-UserDefined grp-21 rplc-5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4rplc-22">
    <w:name w:val="cat-UserDefined grp-24 rplc-22"/>
    <w:basedOn w:val="DefaultParagraphFont"/>
  </w:style>
  <w:style w:type="character" w:customStyle="1" w:styleId="cat-UserDefinedgrp-24rplc-30">
    <w:name w:val="cat-UserDefined grp-24 rplc-30"/>
    <w:basedOn w:val="DefaultParagraphFont"/>
  </w:style>
  <w:style w:type="character" w:customStyle="1" w:styleId="cat-UserDefinedgrp-24rplc-37">
    <w:name w:val="cat-UserDefined grp-24 rplc-37"/>
    <w:basedOn w:val="DefaultParagraphFont"/>
  </w:style>
  <w:style w:type="character" w:customStyle="1" w:styleId="cat-UserDefinedgrp-24rplc-39">
    <w:name w:val="cat-UserDefined grp-24 rplc-39"/>
    <w:basedOn w:val="DefaultParagraphFont"/>
  </w:style>
  <w:style w:type="character" w:customStyle="1" w:styleId="cat-UserDefinedgrp-25rplc-43">
    <w:name w:val="cat-UserDefined grp-25 rplc-43"/>
    <w:basedOn w:val="DefaultParagraphFont"/>
  </w:style>
  <w:style w:type="character" w:customStyle="1" w:styleId="cat-UserDefinedgrp-26rplc-45">
    <w:name w:val="cat-UserDefined grp-26 rplc-45"/>
    <w:basedOn w:val="DefaultParagraphFont"/>
  </w:style>
  <w:style w:type="character" w:customStyle="1" w:styleId="cat-UserDefinedgrp-24rplc-48">
    <w:name w:val="cat-UserDefined grp-24 rplc-48"/>
    <w:basedOn w:val="DefaultParagraphFont"/>
  </w:style>
  <w:style w:type="character" w:customStyle="1" w:styleId="cat-UserDefinedgrp-24rplc-49">
    <w:name w:val="cat-UserDefined grp-24 rplc-49"/>
    <w:basedOn w:val="DefaultParagraphFont"/>
  </w:style>
  <w:style w:type="character" w:customStyle="1" w:styleId="cat-UserDefinedgrp-24rplc-51">
    <w:name w:val="cat-UserDefined grp-24 rplc-51"/>
    <w:basedOn w:val="DefaultParagraphFont"/>
  </w:style>
  <w:style w:type="character" w:customStyle="1" w:styleId="cat-UserDefinedgrp-21rplc-55">
    <w:name w:val="cat-UserDefined grp-21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