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0057-01-2021-000300-71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</w:t>
      </w:r>
      <w:r>
        <w:rPr>
          <w:rStyle w:val="cat-UserDefinedgrp-49rplc-7"/>
          <w:rFonts w:ascii="Times New Roman" w:eastAsia="Times New Roman" w:hAnsi="Times New Roman" w:cs="Times New Roman"/>
          <w:sz w:val="28"/>
          <w:szCs w:val="28"/>
        </w:rPr>
        <w:t>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0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РК-383999 от 16 февраля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февраля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границах населенного пункта – на </w:t>
      </w:r>
      <w:r>
        <w:rPr>
          <w:rStyle w:val="cat-UserDefinedgrp-5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6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 ст. 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13 декабря 1996 года № 150-ФЗ «Об оружии»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выстрел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принадлежащую </w:t>
      </w:r>
      <w:r>
        <w:rPr>
          <w:rStyle w:val="cat-UserDefinedgrp-51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собаку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пневматической пружинно-поршневой винтовки МР-512 калибра 4,5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вначале вину признал и просил назначить наказание в виде штрафа. </w:t>
      </w:r>
      <w:r>
        <w:rPr>
          <w:rFonts w:ascii="Times New Roman" w:eastAsia="Times New Roman" w:hAnsi="Times New Roman" w:cs="Times New Roman"/>
          <w:sz w:val="28"/>
          <w:szCs w:val="28"/>
        </w:rPr>
        <w:t>Однако 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ояснил, что 02 февраля 2021 года примерно в 16 часов он находился в центре с. </w:t>
      </w:r>
      <w:r>
        <w:rPr>
          <w:rFonts w:ascii="Times New Roman" w:eastAsia="Times New Roman" w:hAnsi="Times New Roman" w:cs="Times New Roman"/>
          <w:sz w:val="28"/>
          <w:szCs w:val="28"/>
        </w:rPr>
        <w:t>Колодезное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недалеко от магазина </w:t>
      </w:r>
      <w:r>
        <w:rPr>
          <w:rStyle w:val="cat-UserDefinedgrp-51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показывал </w:t>
      </w:r>
      <w:r>
        <w:rPr>
          <w:rStyle w:val="cat-UserDefinedgrp-52rplc-29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пневматическую винтовку, которую взял перед этим у своего друга. Затем, отъехав от магазина, он заметил собаку, которая часто прибегала к его магазину. О том, что у этой собаки есть хозяин, он не знал. Остановив машину, он бросил камнем в собаку и ранил ее.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оружия не стрелял. </w:t>
      </w:r>
      <w:r>
        <w:rPr>
          <w:rFonts w:ascii="Times New Roman" w:eastAsia="Times New Roman" w:hAnsi="Times New Roman" w:cs="Times New Roman"/>
          <w:sz w:val="28"/>
          <w:szCs w:val="28"/>
        </w:rPr>
        <w:t>Ночью к нему пришли сотрудники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сообщили, что, со слов </w:t>
      </w:r>
      <w:r>
        <w:rPr>
          <w:rStyle w:val="cat-UserDefinedgrp-53rplc-3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якобы послышалось, что он стрелял в собаку. Уверял, что звук, который производит данная винтовка, является слишком слабым, вследствие чего </w:t>
      </w:r>
      <w:r>
        <w:rPr>
          <w:rStyle w:val="cat-UserDefinedgrp-54rplc-3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могла его услышать, находясь за прилавком магазина. Поскольку его сотрудники полиции заверили, что ему суд назначит штраф в размере 500 рублей, он не захотел длительного разбирательства, поэтому согласился с протоколом об административном правонарушении и вначале судебного заседания давал признательные показания. </w:t>
      </w:r>
      <w:r>
        <w:rPr>
          <w:rFonts w:ascii="Times New Roman" w:eastAsia="Times New Roman" w:hAnsi="Times New Roman" w:cs="Times New Roman"/>
          <w:sz w:val="28"/>
          <w:szCs w:val="28"/>
        </w:rPr>
        <w:t>Не 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трельба из оружия в населенных пунктах или в </w:t>
      </w:r>
      <w:r>
        <w:rPr>
          <w:rFonts w:ascii="Times New Roman" w:eastAsia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отведенных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от полутора до трех лет с конфискацией оружия и патронов к нему.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участковый, изымая у него винтовку, пообещал, что после рассмотрения дела судом, обязательно вернет ее.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 выводу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2.1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13 декабря 1996 года № 150-ФЗ «Об оружии» на территории Российской Федерации запрещается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органом исполнительной власти, уполномоченным в сфере оборота оружия.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Стрельба из оружия в населенных пунктах или в </w:t>
      </w:r>
      <w:r>
        <w:rPr>
          <w:rFonts w:ascii="Times New Roman" w:eastAsia="Times New Roman" w:hAnsi="Times New Roman" w:cs="Times New Roman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отведенных для этого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за собой административную ответственность в соответствии с ч. 2 ст. 20.13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судебном заседании свидетель </w:t>
      </w:r>
      <w:r>
        <w:rPr>
          <w:rStyle w:val="cat-UserDefinedgrp-54rplc-4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показала, что 02 февраля 2021 года примерно в 15 часов 40 минут она находилась на своем рабочем месте в магазине по </w:t>
      </w:r>
      <w:r>
        <w:rPr>
          <w:rStyle w:val="cat-UserDefinedgrp-5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Возле входа в магазин находилась ее собака. Через некоторое время она услышала громкий выстрел из оружия, а затем – как скулит ее собака. Выбежав из магазина, увидела, как убегает собака. Также видела уезжающего на автомобиле Сулейманова В.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через пять минут Сулейманов В.Р. вновь проехал мимо, она попросила его остановиться, после чего спросила, зачем он стрелял в ее собаку. На это он ответил, что собака пугает посетителей, которые не могут войти в принадлежащий ему магазин. Вечером ее муж нашел собаку, в боку которой была рана, текла кровь. На следующий день собака умерла. Несмотря на то, что собака была беспородной, ее в семье очень любили, относились к ней как к члену семьи.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последующем </w:t>
      </w:r>
      <w:r>
        <w:rPr>
          <w:rStyle w:val="cat-UserDefinedgrp-57rplc-49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рассказывал, что видел, как Сулейманов В.Р. стрелял в собаку из пневматического ружья. Другие жители с. Колодезное Красногвардейского района также ей рассказывали, что ранее Сулейманов В.Р. неоднократно стрелял в собак.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58rplc-54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допрошенным в судебном заседании, показал, что 02 февраля 2021 года примерно в 16 часов 00 минут его супруга </w:t>
      </w:r>
      <w:r>
        <w:rPr>
          <w:rFonts w:ascii="Times New Roman" w:eastAsia="Times New Roman" w:hAnsi="Times New Roman" w:cs="Times New Roman"/>
          <w:sz w:val="28"/>
          <w:szCs w:val="28"/>
        </w:rPr>
        <w:t>Пуненкова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Н.В. по телефону ему сообщила, что Сулейманов В.Р. стрелял в их собаку. Он нашел собаку и увидел, что у той на теле находится пулевое ранение, текла кровь. Пуля прошла почти через все тело так, что он ее нащупал под кожей с другой стороны. Отличить пулевое ранение от ранения, причиненного камнем, он может, так как ранее служил в десанте, после чего стал интересоваться оружием и всем, что с ним связано.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Участковый уполномоченный полиции ОУУП и ПДН ОМВД России по Красногвардейскому району </w:t>
      </w:r>
      <w:r>
        <w:rPr>
          <w:rStyle w:val="cat-UserDefinedgrp-59rplc-61"/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составивший 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и допрошенный в судебном заседании в качестве свидетеля, показал, что ему поступил материал проверки по сообщению о том, что Сулейманов В.Р. стрелял в собаку из пневматического ружья. Первоначальные материалы были собраны оперативно-следственной группой. При составлении протокола об административном правонарушении какого-либо воздействия на Сулейманова В.Р. он не оказывал. Тот добровольно признал вину. Спросил, какое будет ему назначено наказание. Он разъяснил, что наказание назначит суд, возможно в виде штрафа, но сумму штрафа не называл.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имеются объяснения свидетелей </w:t>
      </w:r>
      <w:r>
        <w:rPr>
          <w:rStyle w:val="cat-UserDefinedgrp-60rplc-65"/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61rplc-67"/>
          <w:rFonts w:ascii="Times New Roman" w:eastAsia="Times New Roman" w:hAnsi="Times New Roman" w:cs="Times New Roman"/>
          <w:sz w:val="28"/>
          <w:szCs w:val="28"/>
        </w:rPr>
        <w:t>ФИО6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2rplc-68"/>
          <w:rFonts w:ascii="Times New Roman" w:eastAsia="Times New Roman" w:hAnsi="Times New Roman" w:cs="Times New Roman"/>
          <w:sz w:val="28"/>
          <w:szCs w:val="28"/>
        </w:rPr>
        <w:t>ФИО7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63rplc-70"/>
          <w:rFonts w:ascii="Times New Roman" w:eastAsia="Times New Roman" w:hAnsi="Times New Roman" w:cs="Times New Roman"/>
          <w:sz w:val="28"/>
          <w:szCs w:val="28"/>
        </w:rPr>
        <w:t>ФИО8</w:t>
      </w:r>
      <w:r>
        <w:rPr>
          <w:rFonts w:ascii="Times New Roman" w:eastAsia="Times New Roman" w:hAnsi="Times New Roman" w:cs="Times New Roman"/>
          <w:sz w:val="28"/>
          <w:szCs w:val="28"/>
        </w:rPr>
        <w:t>., согласно которым они выстрелов не слышали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 – 15).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объяснениями свидетеля </w:t>
      </w:r>
      <w:r>
        <w:rPr>
          <w:rStyle w:val="cat-UserDefinedgrp-64rplc-73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допрошенного в судебном заседании, примерно в феврале 2021 года он находился возле принадлежащего ему магазина в центре </w:t>
      </w:r>
      <w:r>
        <w:rPr>
          <w:rStyle w:val="cat-UserDefinedgrp-65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нему </w:t>
      </w:r>
      <w:r>
        <w:rPr>
          <w:rFonts w:ascii="Times New Roman" w:eastAsia="Times New Roman" w:hAnsi="Times New Roman" w:cs="Times New Roman"/>
          <w:sz w:val="28"/>
          <w:szCs w:val="28"/>
        </w:rPr>
        <w:t>подъехал Сулейманов В.Р. В ходе беседы Сулейманов В.Р. достал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багажника автомобиля пневматическое ружье и показал ему. Затем последний уехал, а он ушел в свой магазин. При нем Сулейманов В.Р. в собаку не стрелял.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объяснений </w:t>
      </w:r>
      <w:r>
        <w:rPr>
          <w:rStyle w:val="cat-UserDefinedgrp-64rplc-8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 февраля 2021 года усматривается, что 02 февраля 2021 года примерно в 16 часов 00 минут он находился около входа в свой магазин, расположенный в </w:t>
      </w:r>
      <w:r>
        <w:rPr>
          <w:rStyle w:val="cat-UserDefinedgrp-66rplc-8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Он увидел, как Сулейманов В.Р. на своем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подъехал к магазину «</w:t>
      </w:r>
      <w:r>
        <w:rPr>
          <w:rStyle w:val="cat-UserDefinedgrp-67rplc-8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вышел из автомобиля, открыл заднюю дверь и достал «</w:t>
      </w:r>
      <w:r>
        <w:rPr>
          <w:rFonts w:ascii="Times New Roman" w:eastAsia="Times New Roman" w:hAnsi="Times New Roman" w:cs="Times New Roman"/>
          <w:sz w:val="28"/>
          <w:szCs w:val="28"/>
        </w:rPr>
        <w:t>воздушку</w:t>
      </w:r>
      <w:r>
        <w:rPr>
          <w:rFonts w:ascii="Times New Roman" w:eastAsia="Times New Roman" w:hAnsi="Times New Roman" w:cs="Times New Roman"/>
          <w:sz w:val="28"/>
          <w:szCs w:val="28"/>
        </w:rPr>
        <w:t>». Далее, подойдя ближе к магазину «</w:t>
      </w:r>
      <w:r>
        <w:rPr>
          <w:rStyle w:val="cat-UserDefinedgrp-67rplc-9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произвел выстрел из «</w:t>
      </w:r>
      <w:r>
        <w:rPr>
          <w:rFonts w:ascii="Times New Roman" w:eastAsia="Times New Roman" w:hAnsi="Times New Roman" w:cs="Times New Roman"/>
          <w:sz w:val="28"/>
          <w:szCs w:val="28"/>
        </w:rPr>
        <w:t>воздушки</w:t>
      </w:r>
      <w:r>
        <w:rPr>
          <w:rFonts w:ascii="Times New Roman" w:eastAsia="Times New Roman" w:hAnsi="Times New Roman" w:cs="Times New Roman"/>
          <w:sz w:val="28"/>
          <w:szCs w:val="28"/>
        </w:rPr>
        <w:t>» в собаку, после чего быстро сел в свой автомобиль и уехал в неизвестном направлении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свидетель </w:t>
      </w:r>
      <w:r>
        <w:rPr>
          <w:rStyle w:val="cat-UserDefinedgrp-57rplc-91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такие объяснения он не давал, подписал их, не читая. Суд не может признать достоверным и допустимым доказательством показания свидетеля </w:t>
      </w:r>
      <w:r>
        <w:rPr>
          <w:rStyle w:val="cat-UserDefinedgrp-64rplc-94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им в ходе производства проверки, поскольку при опросе последний об административной ответственности по ст. 17.9 КоАП Российской Федерации за дачу заведомо ложных показаний не предупреждался.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видеозапись, записанная с камеры видеонаблюдения, находящейся на магазине, принадлежащем </w:t>
      </w:r>
      <w:r>
        <w:rPr>
          <w:rStyle w:val="cat-UserDefinedgrp-68rplc-95"/>
          <w:rFonts w:ascii="Times New Roman" w:eastAsia="Times New Roman" w:hAnsi="Times New Roman" w:cs="Times New Roman"/>
          <w:sz w:val="28"/>
          <w:szCs w:val="28"/>
        </w:rPr>
        <w:t>ФИО9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расположенному неподалеку от магазина «</w:t>
      </w:r>
      <w:r>
        <w:rPr>
          <w:rStyle w:val="cat-UserDefinedgrp-67rplc-9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». Из данной записи усматривается, что человек достает какой-то предмет из автомобиля, уходит с этим предметом и через некоторое время возвращается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35).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 В.Р. не отрицал в судебном заседании, что этим человеком является он и автомобиль принадлежит ему. Отрицал, что доставал из автомобиля ружье.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обращает внимание на плохое качество видеозаписи, из которой невозможно установить, какой именно предмет взял в руки Сулейманов В.Р. Участковый уполномоченный полиции </w:t>
      </w:r>
      <w:r>
        <w:rPr>
          <w:rStyle w:val="cat-UserDefinedgrp-59rplc-100"/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камера видеонаблюдения с указанного магазина ведет запись онлайн, то есть невозможно сделать ее копию, поэтому он, включив запись, снял ее на свой мобильный телефон.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из данной видеозаписи невозможно установить, какой именно предмет находится в руках Сулейманова В.Р., суд не может признать ее достоверным и допустимым доказательством по делу.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осмотре 02 февраля 2021 года места происшествия – крыльца магазина «</w:t>
      </w:r>
      <w:r>
        <w:rPr>
          <w:rStyle w:val="cat-UserDefinedgrp-69rplc-10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Style w:val="cat-UserDefinedgrp-70rplc-10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прилегающей территории установлено, что справа от входа на детскую площадку имеются следы крови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6 –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зафиксирована лежащая собака, у которой на правом боку имеется ранение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16), однако из нее невозможно понять, образовалось ли ранение вследствие выстрела из ружья либо в результате броска камнем.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54rplc-10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предоставила видеозапись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осмотра </w:t>
      </w:r>
      <w:r>
        <w:rPr>
          <w:rFonts w:ascii="Times New Roman" w:eastAsia="Times New Roman" w:hAnsi="Times New Roman" w:cs="Times New Roman"/>
          <w:sz w:val="28"/>
          <w:szCs w:val="28"/>
        </w:rPr>
        <w:t>умершей собаки, на которой видно место ранения, однако невозможно установить характер и механизм образования ранения.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осмотра места происшествия от 02 февраля 2021 года – дома </w:t>
      </w:r>
      <w:r>
        <w:rPr>
          <w:rStyle w:val="cat-UserDefinedgrp-71rplc-1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5rplc-1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Крым, принадлежащего Сулейманову В.Р., было изъято пневматическое ружье МР</w:t>
      </w:r>
      <w:r>
        <w:rPr>
          <w:rFonts w:ascii="Times New Roman" w:eastAsia="Times New Roman" w:hAnsi="Times New Roman" w:cs="Times New Roman"/>
          <w:sz w:val="28"/>
          <w:szCs w:val="28"/>
        </w:rPr>
        <w:t>-512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18 – 20).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заключению судебно-баллистической экспертизы № 5/46 от 04 февраля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года предмет, изъятый 02 февраля 2021 года в ходе осмотра домовладения </w:t>
      </w:r>
      <w:r>
        <w:rPr>
          <w:rStyle w:val="cat-UserDefinedgrp-71rplc-1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5rplc-1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пневматической пружинно-поршневой винтовкой МР-512, калибра – 4,5 мм, № 080326, 2007 года выпуска, изготовленной промышленным способом, и огнестрельным оружием не является. Винтовка для стрельбы пулями к пневматическому оружию калибра 4,5 мм пригодна. Дульная энергия винтовки в представленном на исследование виде составляет 4,82 Дж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30 – 32).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дознаватель отдела дознания ОМВД России по Красногвардейскому району </w:t>
      </w:r>
      <w:r>
        <w:rPr>
          <w:rStyle w:val="cat-UserDefinedgrp-72rplc-123"/>
          <w:rFonts w:ascii="Times New Roman" w:eastAsia="Times New Roman" w:hAnsi="Times New Roman" w:cs="Times New Roman"/>
          <w:sz w:val="28"/>
          <w:szCs w:val="28"/>
        </w:rPr>
        <w:t>ФИО10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оперативно-следственных мероприятий он собаку не осматривал, поэтому не может пояснить, какое именно ранение ей было причинено. При первоначальном опросе Сулейманова В.Р. он выяснил, имеется ли у него какое-либо оружие. Тот пояснил, что у него в гараже находится пневматическая винтовка, зашел в гараж и вынес данное ружье. При этом он, </w:t>
      </w:r>
      <w:r>
        <w:rPr>
          <w:rStyle w:val="cat-UserDefinedgrp-73rplc-126"/>
          <w:rFonts w:ascii="Times New Roman" w:eastAsia="Times New Roman" w:hAnsi="Times New Roman" w:cs="Times New Roman"/>
          <w:sz w:val="28"/>
          <w:szCs w:val="28"/>
        </w:rPr>
        <w:t>ФИО10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 в дверях гаража. Возможно, выданное ему ружье было в пыли. Имеется ли у Сулейманова В.Р. иное оружие, он не выяснял.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отделения лицензионно-разрешительной работы по городу Джанкой и Красногвардейскому району 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г. Севастополю </w:t>
      </w:r>
      <w:r>
        <w:rPr>
          <w:rStyle w:val="cat-UserDefinedgrp-74rplc-133"/>
          <w:rFonts w:ascii="Times New Roman" w:eastAsia="Times New Roman" w:hAnsi="Times New Roman" w:cs="Times New Roman"/>
          <w:sz w:val="28"/>
          <w:szCs w:val="28"/>
        </w:rPr>
        <w:t>ФИО11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допрошенный в судебном заседании в качестве специалиста, пояснил, что невозможно причинить собаке телесные повреждения, повлекшие ее смерть, с помощью пневматической пружинно-поршневой винтовки МР-512, даже если увеличить дульную энергию винтовки с помощью замены пружины и если использовать для стрельбы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боевые пули калибра 4,5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необходимо использовать более мощное пневматическое оружие. Установить экспертным путем, когда в последний раз производился выстрел из данной винтовки, не представляется возможным. Говорить о выстреле было бы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случае, если бы сразу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происшествия винтовка </w:t>
      </w:r>
      <w:r>
        <w:rPr>
          <w:rFonts w:ascii="Times New Roman" w:eastAsia="Times New Roman" w:hAnsi="Times New Roman" w:cs="Times New Roman"/>
          <w:sz w:val="28"/>
          <w:szCs w:val="28"/>
        </w:rPr>
        <w:t>была бы осмотрена и в ней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обнаружено пыли, которая устраняется вследствие прохождения пули по стволу.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 КоАП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1.5 КоАП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КоАП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установлена административная ответственность.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Выполняя требования ст. 24.1 КоАП Российской Федерации о задачах производства по делам об административных правонарушениях и выясняя обстоятельства, подлежащие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выяснению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26.1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давая оценку собранным по делу доказательствам,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об отсутствии доказатель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>ств 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ельбы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Сулеймановым В.Р. в неотведенном для этого месте.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непосредственных очевидцев того, как Сулейманов В.Р. стрелял в собаку, принадлежащую </w:t>
      </w:r>
      <w:r>
        <w:rPr>
          <w:rStyle w:val="cat-UserDefinedgrp-53rplc-13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 Механизм причинения ранения собаке не выяснялся. Собака не осматривалась не только ветеринаром, но даже и работниками органа дознания, проводившими оперативно-следственные мероприятия. К показаниям </w:t>
      </w:r>
      <w:r>
        <w:rPr>
          <w:rStyle w:val="cat-UserDefinedgrp-75rplc-139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он уверен в причинении собаке именно пулевого ранения, суд относится критически, поскольку его показания не подтверждены иными достоверными и допустимыми доказательствами. Кроме того, как пояснил </w:t>
      </w:r>
      <w:r>
        <w:rPr>
          <w:rStyle w:val="cat-UserDefinedgrp-76rplc-140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после убийства собаки он испытывает неприязнь к Сулейманову В.Р.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настоящий момент в связи со смертью собаки и невозможностью установления ее места захоронения невозможно установить механизм и характер причинения ей телесных повреждений.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пояснениям специалиста </w:t>
      </w:r>
      <w:r>
        <w:rPr>
          <w:rStyle w:val="cat-UserDefinedgrp-77rplc-143"/>
          <w:rFonts w:ascii="Times New Roman" w:eastAsia="Times New Roman" w:hAnsi="Times New Roman" w:cs="Times New Roman"/>
          <w:sz w:val="28"/>
          <w:szCs w:val="28"/>
        </w:rPr>
        <w:t>ФИО11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собаке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могли быть причинены </w:t>
      </w:r>
      <w:r>
        <w:rPr>
          <w:rFonts w:ascii="Times New Roman" w:eastAsia="Times New Roman" w:hAnsi="Times New Roman" w:cs="Times New Roman"/>
          <w:sz w:val="28"/>
          <w:szCs w:val="28"/>
        </w:rPr>
        <w:t>телесные повреждения, повлекшие ее смерть, с помощью пневматической пружинно-поршневой винтовки МР-512</w:t>
      </w:r>
      <w:r>
        <w:rPr>
          <w:rFonts w:ascii="Times New Roman" w:eastAsia="Times New Roman" w:hAnsi="Times New Roman" w:cs="Times New Roman"/>
          <w:sz w:val="28"/>
          <w:szCs w:val="28"/>
        </w:rPr>
        <w:t>. Орган дознания, проводивший оперативно-следственные мероприятия, не осматривал изъятую у Сулейманова В.Р. винтовку на наличие либо отсутствие в ней пыли, а также не выяснял, имеется ли у него иное оружие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 пробел, допущенный в ходе производства первоначальных мероприятий, в настоящий момент устранить не представляется возможным.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соглашается с доводами Сулейманова В.Р. о том, что он не причинял собаке телесные повреждения в результате стрельбы из </w:t>
      </w:r>
      <w:r>
        <w:rPr>
          <w:rFonts w:ascii="Times New Roman" w:eastAsia="Times New Roman" w:hAnsi="Times New Roman" w:cs="Times New Roman"/>
          <w:sz w:val="28"/>
          <w:szCs w:val="28"/>
        </w:rPr>
        <w:t>пневматической пружинно-поршневой винтовки МР-512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не усматривает в его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действиях признаков состава правонарушения, предусмотренного ч. 2 ст. 20.13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состава административного правонарушения отнесено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 24.5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обстоятельствам, исключающим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необходимым прекратить в отношении Сулейманова В.Р. производство по делу об административном правонарушении, предусмотренном ч. 2 ст. 20. 13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прекращением производства по делу вещественное доказательство – </w:t>
      </w:r>
      <w:r>
        <w:rPr>
          <w:rFonts w:ascii="Times New Roman" w:eastAsia="Times New Roman" w:hAnsi="Times New Roman" w:cs="Times New Roman"/>
          <w:sz w:val="28"/>
          <w:szCs w:val="28"/>
        </w:rPr>
        <w:t>пневматическ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пружинно-поршнев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винтовк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МР-512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возвращению Сулейманову В.Р.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в отношении Сулейманова </w:t>
      </w:r>
      <w:r>
        <w:rPr>
          <w:rStyle w:val="cat-UserDefinedgrp-49rplc-150"/>
          <w:rFonts w:ascii="Times New Roman" w:eastAsia="Times New Roman" w:hAnsi="Times New Roman" w:cs="Times New Roman"/>
          <w:sz w:val="28"/>
          <w:szCs w:val="28"/>
        </w:rPr>
        <w:t>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на основании п. 2 ч. 1 ст. 24.5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ещественное доказательство – пневматическ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пружинно-поршнев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винтовк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МР-512 </w:t>
      </w:r>
      <w:r>
        <w:rPr>
          <w:rFonts w:ascii="Times New Roman" w:eastAsia="Times New Roman" w:hAnsi="Times New Roman" w:cs="Times New Roman"/>
          <w:sz w:val="28"/>
          <w:szCs w:val="28"/>
        </w:rPr>
        <w:t>возвратить по принадлежности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Сулейманову В.Р.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tabs>
          <w:tab w:val="left" w:pos="8292"/>
        </w:tabs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78rplc-15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9rplc-7">
    <w:name w:val="cat-UserDefined grp-49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UserDefinedgrp-56rplc-18">
    <w:name w:val="cat-UserDefined grp-56 rplc-18"/>
    <w:basedOn w:val="DefaultParagraphFont"/>
  </w:style>
  <w:style w:type="character" w:customStyle="1" w:styleId="cat-UserDefinedgrp-65rplc-19">
    <w:name w:val="cat-UserDefined grp-65 rplc-19"/>
    <w:basedOn w:val="DefaultParagraphFont"/>
  </w:style>
  <w:style w:type="character" w:customStyle="1" w:styleId="cat-UserDefinedgrp-51rplc-23">
    <w:name w:val="cat-UserDefined grp-51 rplc-23"/>
    <w:basedOn w:val="DefaultParagraphFont"/>
  </w:style>
  <w:style w:type="character" w:customStyle="1" w:styleId="cat-UserDefinedgrp-51rplc-27">
    <w:name w:val="cat-UserDefined grp-51 rplc-27"/>
    <w:basedOn w:val="DefaultParagraphFont"/>
  </w:style>
  <w:style w:type="character" w:customStyle="1" w:styleId="cat-UserDefinedgrp-52rplc-29">
    <w:name w:val="cat-UserDefined grp-52 rplc-29"/>
    <w:basedOn w:val="DefaultParagraphFont"/>
  </w:style>
  <w:style w:type="character" w:customStyle="1" w:styleId="cat-UserDefinedgrp-53rplc-32">
    <w:name w:val="cat-UserDefined grp-53 rplc-32"/>
    <w:basedOn w:val="DefaultParagraphFont"/>
  </w:style>
  <w:style w:type="character" w:customStyle="1" w:styleId="cat-UserDefinedgrp-54rplc-33">
    <w:name w:val="cat-UserDefined grp-54 rplc-33"/>
    <w:basedOn w:val="DefaultParagraphFont"/>
  </w:style>
  <w:style w:type="character" w:customStyle="1" w:styleId="cat-UserDefinedgrp-54rplc-40">
    <w:name w:val="cat-UserDefined grp-54 rplc-40"/>
    <w:basedOn w:val="DefaultParagraphFont"/>
  </w:style>
  <w:style w:type="character" w:customStyle="1" w:styleId="cat-UserDefinedgrp-55rplc-44">
    <w:name w:val="cat-UserDefined grp-55 rplc-44"/>
    <w:basedOn w:val="DefaultParagraphFont"/>
  </w:style>
  <w:style w:type="character" w:customStyle="1" w:styleId="cat-UserDefinedgrp-57rplc-49">
    <w:name w:val="cat-UserDefined grp-57 rplc-49"/>
    <w:basedOn w:val="DefaultParagraphFont"/>
  </w:style>
  <w:style w:type="character" w:customStyle="1" w:styleId="cat-UserDefinedgrp-58rplc-54">
    <w:name w:val="cat-UserDefined grp-58 rplc-54"/>
    <w:basedOn w:val="DefaultParagraphFont"/>
  </w:style>
  <w:style w:type="character" w:customStyle="1" w:styleId="cat-UserDefinedgrp-59rplc-61">
    <w:name w:val="cat-UserDefined grp-59 rplc-61"/>
    <w:basedOn w:val="DefaultParagraphFont"/>
  </w:style>
  <w:style w:type="character" w:customStyle="1" w:styleId="cat-UserDefinedgrp-60rplc-65">
    <w:name w:val="cat-UserDefined grp-60 rplc-65"/>
    <w:basedOn w:val="DefaultParagraphFont"/>
  </w:style>
  <w:style w:type="character" w:customStyle="1" w:styleId="cat-UserDefinedgrp-61rplc-67">
    <w:name w:val="cat-UserDefined grp-61 rplc-67"/>
    <w:basedOn w:val="DefaultParagraphFont"/>
  </w:style>
  <w:style w:type="character" w:customStyle="1" w:styleId="cat-UserDefinedgrp-62rplc-68">
    <w:name w:val="cat-UserDefined grp-62 rplc-68"/>
    <w:basedOn w:val="DefaultParagraphFont"/>
  </w:style>
  <w:style w:type="character" w:customStyle="1" w:styleId="cat-UserDefinedgrp-63rplc-70">
    <w:name w:val="cat-UserDefined grp-63 rplc-70"/>
    <w:basedOn w:val="DefaultParagraphFont"/>
  </w:style>
  <w:style w:type="character" w:customStyle="1" w:styleId="cat-UserDefinedgrp-64rplc-73">
    <w:name w:val="cat-UserDefined grp-64 rplc-73"/>
    <w:basedOn w:val="DefaultParagraphFont"/>
  </w:style>
  <w:style w:type="character" w:customStyle="1" w:styleId="cat-UserDefinedgrp-65rplc-76">
    <w:name w:val="cat-UserDefined grp-65 rplc-76"/>
    <w:basedOn w:val="DefaultParagraphFont"/>
  </w:style>
  <w:style w:type="character" w:customStyle="1" w:styleId="cat-UserDefinedgrp-64rplc-80">
    <w:name w:val="cat-UserDefined grp-64 rplc-80"/>
    <w:basedOn w:val="DefaultParagraphFont"/>
  </w:style>
  <w:style w:type="character" w:customStyle="1" w:styleId="cat-UserDefinedgrp-66rplc-85">
    <w:name w:val="cat-UserDefined grp-66 rplc-85"/>
    <w:basedOn w:val="DefaultParagraphFont"/>
  </w:style>
  <w:style w:type="character" w:customStyle="1" w:styleId="cat-UserDefinedgrp-67rplc-89">
    <w:name w:val="cat-UserDefined grp-67 rplc-89"/>
    <w:basedOn w:val="DefaultParagraphFont"/>
  </w:style>
  <w:style w:type="character" w:customStyle="1" w:styleId="cat-UserDefinedgrp-67rplc-90">
    <w:name w:val="cat-UserDefined grp-67 rplc-90"/>
    <w:basedOn w:val="DefaultParagraphFont"/>
  </w:style>
  <w:style w:type="character" w:customStyle="1" w:styleId="cat-UserDefinedgrp-57rplc-91">
    <w:name w:val="cat-UserDefined grp-57 rplc-91"/>
    <w:basedOn w:val="DefaultParagraphFont"/>
  </w:style>
  <w:style w:type="character" w:customStyle="1" w:styleId="cat-UserDefinedgrp-64rplc-94">
    <w:name w:val="cat-UserDefined grp-64 rplc-94"/>
    <w:basedOn w:val="DefaultParagraphFont"/>
  </w:style>
  <w:style w:type="character" w:customStyle="1" w:styleId="cat-UserDefinedgrp-68rplc-95">
    <w:name w:val="cat-UserDefined grp-68 rplc-95"/>
    <w:basedOn w:val="DefaultParagraphFont"/>
  </w:style>
  <w:style w:type="character" w:customStyle="1" w:styleId="cat-UserDefinedgrp-67rplc-97">
    <w:name w:val="cat-UserDefined grp-67 rplc-97"/>
    <w:basedOn w:val="DefaultParagraphFont"/>
  </w:style>
  <w:style w:type="character" w:customStyle="1" w:styleId="cat-UserDefinedgrp-59rplc-100">
    <w:name w:val="cat-UserDefined grp-59 rplc-100"/>
    <w:basedOn w:val="DefaultParagraphFont"/>
  </w:style>
  <w:style w:type="character" w:customStyle="1" w:styleId="cat-UserDefinedgrp-69rplc-104">
    <w:name w:val="cat-UserDefined grp-69 rplc-104"/>
    <w:basedOn w:val="DefaultParagraphFont"/>
  </w:style>
  <w:style w:type="character" w:customStyle="1" w:styleId="cat-UserDefinedgrp-70rplc-106">
    <w:name w:val="cat-UserDefined grp-70 rplc-106"/>
    <w:basedOn w:val="DefaultParagraphFont"/>
  </w:style>
  <w:style w:type="character" w:customStyle="1" w:styleId="cat-UserDefinedgrp-54rplc-108">
    <w:name w:val="cat-UserDefined grp-54 rplc-108"/>
    <w:basedOn w:val="DefaultParagraphFont"/>
  </w:style>
  <w:style w:type="character" w:customStyle="1" w:styleId="cat-UserDefinedgrp-71rplc-110">
    <w:name w:val="cat-UserDefined grp-71 rplc-110"/>
    <w:basedOn w:val="DefaultParagraphFont"/>
  </w:style>
  <w:style w:type="character" w:customStyle="1" w:styleId="cat-UserDefinedgrp-65rplc-112">
    <w:name w:val="cat-UserDefined grp-65 rplc-112"/>
    <w:basedOn w:val="DefaultParagraphFont"/>
  </w:style>
  <w:style w:type="character" w:customStyle="1" w:styleId="cat-UserDefinedgrp-71rplc-117">
    <w:name w:val="cat-UserDefined grp-71 rplc-117"/>
    <w:basedOn w:val="DefaultParagraphFont"/>
  </w:style>
  <w:style w:type="character" w:customStyle="1" w:styleId="cat-UserDefinedgrp-65rplc-119">
    <w:name w:val="cat-UserDefined grp-65 rplc-119"/>
    <w:basedOn w:val="DefaultParagraphFont"/>
  </w:style>
  <w:style w:type="character" w:customStyle="1" w:styleId="cat-UserDefinedgrp-72rplc-123">
    <w:name w:val="cat-UserDefined grp-72 rplc-123"/>
    <w:basedOn w:val="DefaultParagraphFont"/>
  </w:style>
  <w:style w:type="character" w:customStyle="1" w:styleId="cat-UserDefinedgrp-73rplc-126">
    <w:name w:val="cat-UserDefined grp-73 rplc-126"/>
    <w:basedOn w:val="DefaultParagraphFont"/>
  </w:style>
  <w:style w:type="character" w:customStyle="1" w:styleId="cat-UserDefinedgrp-74rplc-133">
    <w:name w:val="cat-UserDefined grp-74 rplc-133"/>
    <w:basedOn w:val="DefaultParagraphFont"/>
  </w:style>
  <w:style w:type="character" w:customStyle="1" w:styleId="cat-UserDefinedgrp-53rplc-137">
    <w:name w:val="cat-UserDefined grp-53 rplc-137"/>
    <w:basedOn w:val="DefaultParagraphFont"/>
  </w:style>
  <w:style w:type="character" w:customStyle="1" w:styleId="cat-UserDefinedgrp-75rplc-139">
    <w:name w:val="cat-UserDefined grp-75 rplc-139"/>
    <w:basedOn w:val="DefaultParagraphFont"/>
  </w:style>
  <w:style w:type="character" w:customStyle="1" w:styleId="cat-UserDefinedgrp-76rplc-140">
    <w:name w:val="cat-UserDefined grp-76 rplc-140"/>
    <w:basedOn w:val="DefaultParagraphFont"/>
  </w:style>
  <w:style w:type="character" w:customStyle="1" w:styleId="cat-UserDefinedgrp-77rplc-143">
    <w:name w:val="cat-UserDefined grp-77 rplc-143"/>
    <w:basedOn w:val="DefaultParagraphFont"/>
  </w:style>
  <w:style w:type="character" w:customStyle="1" w:styleId="cat-UserDefinedgrp-49rplc-150">
    <w:name w:val="cat-UserDefined grp-49 rplc-150"/>
    <w:basedOn w:val="DefaultParagraphFont"/>
  </w:style>
  <w:style w:type="character" w:customStyle="1" w:styleId="cat-UserDefinedgrp-78rplc-154">
    <w:name w:val="cat-UserDefined grp-78 rplc-1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B3DB803F3208313CB3D9B7F94A483E3C007F4E66519E0C5567008948C586DC7A7AA1D8EB57B2D32952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