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как </w:t>
      </w:r>
      <w:r>
        <w:rPr>
          <w:rFonts w:ascii="Times New Roman" w:eastAsia="Times New Roman" w:hAnsi="Times New Roman" w:cs="Times New Roman"/>
          <w:sz w:val="28"/>
          <w:szCs w:val="28"/>
        </w:rPr>
        <w:t>у его супруги, с которой он состоит в фактических брачных отношениях, произошел выкидыш, то он расстроился, употребил алкоголь и ушел из дома.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38442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 октября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делам № 5-57-398/2020, № 5-57-399/2020, № 5-57-400/2020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25 ноября 2020 года по делам № 5-57-473/2020, № 5-57-474/2020, № 5-57-475/2020, от 10 декабря 2020 года по делам № 5-57-494/2020, № 5-57-495/2020, № 5-57-496/2020, № 5-57-497/2020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совершение правонарушения вследствие сильного душевного волнения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смягчающих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7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4rplc-45">
    <w:name w:val="cat-UserDefined grp-24 rplc-45"/>
    <w:basedOn w:val="DefaultParagraphFont"/>
  </w:style>
  <w:style w:type="character" w:customStyle="1" w:styleId="cat-UserDefinedgrp-27rplc-48">
    <w:name w:val="cat-UserDefined grp-2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