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представителя несовершеннолетней потерпевшей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 В.Г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домовладения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UserDefinedgrp-20rplc-2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Кочетов В.Г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материалами дела, а именно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РК - 210773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определением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 от 03.01.2019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расследования; </w:t>
      </w:r>
      <w:r>
        <w:rPr>
          <w:rFonts w:ascii="Times New Roman" w:eastAsia="Times New Roman" w:hAnsi="Times New Roman" w:cs="Times New Roman"/>
          <w:sz w:val="28"/>
          <w:szCs w:val="28"/>
        </w:rPr>
        <w:t>актом судебно-медицинского освидетельствования №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правонарушения и роли правонарушителя, размера вреда и тяжести наступивших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судьи, вменяемое </w:t>
      </w:r>
      <w:r>
        <w:rPr>
          <w:rFonts w:ascii="Times New Roman" w:eastAsia="Times New Roman" w:hAnsi="Times New Roman" w:cs="Times New Roman"/>
          <w:sz w:val="28"/>
          <w:szCs w:val="28"/>
        </w:rPr>
        <w:t>Кочетову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</w:rPr>
        <w:t>. 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имеются основания признать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Кочетовым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</w:rPr>
        <w:t>.,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1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связи с малозначительностью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Кочетову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Вячеславу Геннадьевичу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устное замечание.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равонарушении, предусмотренном 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4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прекратить.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0rplc-22">
    <w:name w:val="cat-UserDefined grp-20 rplc-22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0rplc-30">
    <w:name w:val="cat-UserDefined grp-20 rplc-30"/>
    <w:basedOn w:val="DefaultParagraphFont"/>
  </w:style>
  <w:style w:type="character" w:customStyle="1" w:styleId="cat-UserDefinedgrp-22rplc-39">
    <w:name w:val="cat-UserDefined grp-22 rplc-39"/>
    <w:basedOn w:val="DefaultParagraphFont"/>
  </w:style>
  <w:style w:type="character" w:customStyle="1" w:styleId="cat-UserDefinedgrp-22rplc-41">
    <w:name w:val="cat-UserDefined grp-22 rplc-41"/>
    <w:basedOn w:val="DefaultParagraphFont"/>
  </w:style>
  <w:style w:type="character" w:customStyle="1" w:styleId="cat-UserDefinedgrp-22rplc-44">
    <w:name w:val="cat-UserDefined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