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 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сентября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14.2 Кодекса Российской Федерации об административных правонарушениях, в отношении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Казаковой </w:t>
      </w:r>
      <w:r>
        <w:rPr>
          <w:rStyle w:val="cat-UserDefinedgrp-27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16.06.2020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по адресу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осуществляла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спиртосодержащей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заключению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>1250/3-4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нарушила ст. 26 ФЗ N 171 от 22 ноября 1995 г.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предусмотренное ст. 14.2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 незаконную продажу товаров (иных вещей), свободная реализация которых запрещена или ограничена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признала полностью, просила строго не наказывать.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Казакову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совершила административное правонарушение, предусмотренное ст. 14.2 КоАП РФ - незаконная продажа товаров (иных вещей), свободная реализация которых запрещена или ограничена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14.2 КоАП РФ, помимо ее признания подтверждается, также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№РК-</w:t>
      </w:r>
      <w:r>
        <w:rPr>
          <w:rFonts w:ascii="Times New Roman" w:eastAsia="Times New Roman" w:hAnsi="Times New Roman" w:cs="Times New Roman"/>
          <w:sz w:val="28"/>
          <w:szCs w:val="28"/>
        </w:rPr>
        <w:t>291792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объяснением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</w:t>
      </w:r>
      <w:r>
        <w:rPr>
          <w:rFonts w:ascii="Times New Roman" w:eastAsia="Times New Roman" w:hAnsi="Times New Roman" w:cs="Times New Roman"/>
          <w:sz w:val="28"/>
          <w:szCs w:val="28"/>
        </w:rPr>
        <w:t>№1250/3-4 от 05.08.2020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в качестве обстоятельства, смягчающего его, признаю раскаяние лица, совершившего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учитывая характер и степень общественной опасности содеянного, данные о личности правонарушителя, которая вину признала, а также отсутствие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Казаковой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минимальном размере, предусмотренном санкцией статьи 14.2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29.9, 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Казаков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9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виновной в совершении административного правонарушения, предусмотренного статьей 14.2 КоАП РФ, и назначить ей наказание в виде штрафа в размере 1500 (одна тысяча пятьсот) рублей, подлежащего уплате по следующим реквизитам: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Крым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5">
    <w:name w:val="cat-UserDefined grp-27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29">
    <w:name w:val="cat-UserDefined grp-31 rplc-29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